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A81" w:rsidRPr="00BC7A81" w:rsidRDefault="00BC7A81" w:rsidP="00BC7A81">
      <w:pPr>
        <w:autoSpaceDE w:val="0"/>
        <w:autoSpaceDN w:val="0"/>
        <w:adjustRightInd w:val="0"/>
        <w:spacing w:after="0" w:line="240" w:lineRule="auto"/>
        <w:rPr>
          <w:rFonts w:ascii="Times New Roman" w:hAnsi="Times New Roman" w:cs="Times New Roman"/>
          <w:sz w:val="24"/>
          <w:szCs w:val="24"/>
        </w:rPr>
      </w:pPr>
      <w:r w:rsidRPr="00BC7A8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7A81">
        <w:rPr>
          <w:rFonts w:ascii="Times New Roman" w:hAnsi="Times New Roman" w:cs="Times New Roman"/>
          <w:sz w:val="24"/>
          <w:szCs w:val="24"/>
        </w:rPr>
        <w:t xml:space="preserve">Приложение </w:t>
      </w:r>
    </w:p>
    <w:p w:rsidR="00BC7A81" w:rsidRPr="00BC7A81" w:rsidRDefault="00BC7A81" w:rsidP="00BC7A81">
      <w:pPr>
        <w:autoSpaceDE w:val="0"/>
        <w:autoSpaceDN w:val="0"/>
        <w:adjustRightInd w:val="0"/>
        <w:spacing w:after="0" w:line="240" w:lineRule="auto"/>
        <w:rPr>
          <w:rFonts w:ascii="Times New Roman" w:hAnsi="Times New Roman" w:cs="Times New Roman"/>
          <w:sz w:val="24"/>
          <w:szCs w:val="24"/>
        </w:rPr>
      </w:pPr>
      <w:r w:rsidRPr="00BC7A8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7A81">
        <w:rPr>
          <w:rFonts w:ascii="Times New Roman" w:hAnsi="Times New Roman" w:cs="Times New Roman"/>
          <w:sz w:val="24"/>
          <w:szCs w:val="24"/>
        </w:rPr>
        <w:t xml:space="preserve">к постановлению администрации </w:t>
      </w:r>
    </w:p>
    <w:p w:rsidR="00BC7A81" w:rsidRPr="00BC7A81" w:rsidRDefault="00BC7A81" w:rsidP="00BC7A81">
      <w:pPr>
        <w:autoSpaceDE w:val="0"/>
        <w:autoSpaceDN w:val="0"/>
        <w:adjustRightInd w:val="0"/>
        <w:spacing w:after="0" w:line="240" w:lineRule="auto"/>
        <w:rPr>
          <w:rFonts w:ascii="Times New Roman" w:hAnsi="Times New Roman" w:cs="Times New Roman"/>
          <w:sz w:val="24"/>
          <w:szCs w:val="24"/>
        </w:rPr>
      </w:pPr>
      <w:r w:rsidRPr="00BC7A8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7A81">
        <w:rPr>
          <w:rFonts w:ascii="Times New Roman" w:hAnsi="Times New Roman" w:cs="Times New Roman"/>
          <w:sz w:val="24"/>
          <w:szCs w:val="24"/>
        </w:rPr>
        <w:t>Инсарского муниципального</w:t>
      </w:r>
      <w:r>
        <w:rPr>
          <w:rFonts w:ascii="Times New Roman" w:hAnsi="Times New Roman" w:cs="Times New Roman"/>
          <w:sz w:val="24"/>
          <w:szCs w:val="24"/>
        </w:rPr>
        <w:t xml:space="preserve"> </w:t>
      </w:r>
      <w:r w:rsidRPr="00BC7A81">
        <w:rPr>
          <w:rFonts w:ascii="Times New Roman" w:hAnsi="Times New Roman" w:cs="Times New Roman"/>
          <w:sz w:val="24"/>
          <w:szCs w:val="24"/>
        </w:rPr>
        <w:t>района</w:t>
      </w:r>
    </w:p>
    <w:p w:rsidR="00BC7A81" w:rsidRPr="00BC7A81" w:rsidRDefault="00BC7A81" w:rsidP="00BC7A81">
      <w:pPr>
        <w:autoSpaceDE w:val="0"/>
        <w:autoSpaceDN w:val="0"/>
        <w:adjustRightInd w:val="0"/>
        <w:spacing w:after="0" w:line="240" w:lineRule="auto"/>
        <w:rPr>
          <w:rFonts w:ascii="Times New Roman" w:hAnsi="Times New Roman" w:cs="Times New Roman"/>
        </w:rPr>
      </w:pPr>
      <w:r w:rsidRPr="00BC7A8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7A81">
        <w:rPr>
          <w:rFonts w:ascii="Times New Roman" w:hAnsi="Times New Roman" w:cs="Times New Roman"/>
          <w:sz w:val="24"/>
          <w:szCs w:val="24"/>
        </w:rPr>
        <w:t xml:space="preserve"> от 21 июля 2023</w:t>
      </w:r>
      <w:r w:rsidRPr="00BC7A81">
        <w:rPr>
          <w:rFonts w:ascii="Times New Roman" w:hAnsi="Times New Roman" w:cs="Times New Roman"/>
          <w:sz w:val="24"/>
          <w:szCs w:val="24"/>
          <w:lang w:val="en-US"/>
        </w:rPr>
        <w:t> </w:t>
      </w:r>
      <w:r w:rsidRPr="00BC7A81">
        <w:rPr>
          <w:rFonts w:ascii="Times New Roman" w:hAnsi="Times New Roman" w:cs="Times New Roman"/>
          <w:sz w:val="24"/>
          <w:szCs w:val="24"/>
        </w:rPr>
        <w:t xml:space="preserve">г. </w:t>
      </w:r>
      <w:r w:rsidRPr="00BC7A81">
        <w:rPr>
          <w:rFonts w:ascii="Times New Roman" w:hAnsi="Times New Roman" w:cs="Times New Roman"/>
          <w:sz w:val="24"/>
          <w:szCs w:val="24"/>
          <w:lang w:val="en-US"/>
        </w:rPr>
        <w:t>N </w:t>
      </w:r>
      <w:r w:rsidRPr="00BC7A81">
        <w:rPr>
          <w:rFonts w:ascii="Times New Roman" w:hAnsi="Times New Roman" w:cs="Times New Roman"/>
          <w:sz w:val="24"/>
          <w:szCs w:val="24"/>
        </w:rPr>
        <w:t>279</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Pr>
          <w:rFonts w:ascii="Times New Roman CYR" w:hAnsi="Times New Roman CYR" w:cs="Times New Roman CYR"/>
          <w:b/>
          <w:bCs/>
          <w:sz w:val="24"/>
          <w:szCs w:val="24"/>
        </w:rPr>
        <w:t>Муниципальная Программа "Управление муниципальным имуществом и земельными ресурсами" в Инсарском муниципальном районе Республики Мордовия на 2016</w:t>
      </w:r>
      <w:r>
        <w:rPr>
          <w:rFonts w:ascii="Times New Roman" w:hAnsi="Times New Roman" w:cs="Times New Roman"/>
          <w:b/>
          <w:bCs/>
          <w:sz w:val="24"/>
          <w:szCs w:val="24"/>
          <w:lang w:val="en-US"/>
        </w:rPr>
        <w:t> </w:t>
      </w:r>
      <w:r w:rsidRPr="00BC7A81">
        <w:rPr>
          <w:rFonts w:ascii="Times New Roman" w:hAnsi="Times New Roman" w:cs="Times New Roman"/>
          <w:b/>
          <w:bCs/>
          <w:sz w:val="24"/>
          <w:szCs w:val="24"/>
        </w:rPr>
        <w:t>-</w:t>
      </w:r>
      <w:r>
        <w:rPr>
          <w:rFonts w:ascii="Times New Roman" w:hAnsi="Times New Roman" w:cs="Times New Roman"/>
          <w:b/>
          <w:bCs/>
          <w:sz w:val="24"/>
          <w:szCs w:val="24"/>
          <w:lang w:val="en-US"/>
        </w:rPr>
        <w:t> </w:t>
      </w:r>
      <w:r w:rsidRPr="00BC7A81">
        <w:rPr>
          <w:rFonts w:ascii="Times New Roman" w:hAnsi="Times New Roman" w:cs="Times New Roman"/>
          <w:b/>
          <w:bCs/>
          <w:sz w:val="24"/>
          <w:szCs w:val="24"/>
        </w:rPr>
        <w:t>2025</w:t>
      </w:r>
      <w:r>
        <w:rPr>
          <w:rFonts w:ascii="Times New Roman" w:hAnsi="Times New Roman" w:cs="Times New Roman"/>
          <w:b/>
          <w:bCs/>
          <w:sz w:val="24"/>
          <w:szCs w:val="24"/>
          <w:lang w:val="en-US"/>
        </w:rPr>
        <w:t> </w:t>
      </w:r>
      <w:r>
        <w:rPr>
          <w:rFonts w:ascii="Times New Roman CYR" w:hAnsi="Times New Roman CYR" w:cs="Times New Roman CYR"/>
          <w:b/>
          <w:bCs/>
          <w:sz w:val="24"/>
          <w:szCs w:val="24"/>
        </w:rPr>
        <w:t>годы"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Pr>
          <w:rFonts w:ascii="Times New Roman CYR" w:hAnsi="Times New Roman CYR" w:cs="Times New Roman CYR"/>
          <w:b/>
          <w:bCs/>
          <w:sz w:val="24"/>
          <w:szCs w:val="24"/>
        </w:rPr>
        <w:t>Паспорт муниципальной Программы</w:t>
      </w:r>
    </w:p>
    <w:p w:rsidR="00BC7A81" w:rsidRDefault="00BC7A81" w:rsidP="00BC7A81">
      <w:pPr>
        <w:autoSpaceDE w:val="0"/>
        <w:autoSpaceDN w:val="0"/>
        <w:adjustRightInd w:val="0"/>
        <w:spacing w:after="0" w:line="240" w:lineRule="auto"/>
        <w:ind w:firstLine="720"/>
        <w:jc w:val="both"/>
        <w:rPr>
          <w:rFonts w:ascii="Calibri" w:hAnsi="Calibri" w:cs="Calibri"/>
          <w:lang w:val="en-US"/>
        </w:rPr>
      </w:pPr>
    </w:p>
    <w:tbl>
      <w:tblPr>
        <w:tblW w:w="0" w:type="auto"/>
        <w:tblInd w:w="3" w:type="dxa"/>
        <w:tblLayout w:type="fixed"/>
        <w:tblCellMar>
          <w:left w:w="0" w:type="dxa"/>
          <w:right w:w="0" w:type="dxa"/>
        </w:tblCellMar>
        <w:tblLook w:val="0000"/>
      </w:tblPr>
      <w:tblGrid>
        <w:gridCol w:w="2438"/>
        <w:gridCol w:w="7824"/>
      </w:tblGrid>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Наименование муниципальной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Муниципальная Программа "Управление муниципальным имуществом и земельными ресурсами</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Инсарском муниципальном районе Республики Мордовия на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годы (далее - Программа).</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Основания для разработки муниципальной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Постановление администрации Инсарского муниципального района от 16.10.2015</w:t>
            </w:r>
            <w:r>
              <w:rPr>
                <w:rFonts w:ascii="Times New Roman" w:hAnsi="Times New Roman" w:cs="Times New Roman"/>
                <w:sz w:val="24"/>
                <w:szCs w:val="24"/>
                <w:lang w:val="en-US"/>
              </w:rPr>
              <w:t> </w:t>
            </w:r>
            <w:r>
              <w:rPr>
                <w:rFonts w:ascii="Times New Roman CYR" w:hAnsi="Times New Roman CYR" w:cs="Times New Roman CYR"/>
                <w:sz w:val="24"/>
                <w:szCs w:val="24"/>
              </w:rPr>
              <w:t>г. N</w:t>
            </w:r>
            <w:r>
              <w:rPr>
                <w:rFonts w:ascii="Times New Roman" w:hAnsi="Times New Roman" w:cs="Times New Roman"/>
                <w:sz w:val="24"/>
                <w:szCs w:val="24"/>
                <w:lang w:val="en-US"/>
              </w:rPr>
              <w:t> </w:t>
            </w:r>
            <w:r w:rsidRPr="00BC7A81">
              <w:rPr>
                <w:rFonts w:ascii="Times New Roman" w:hAnsi="Times New Roman" w:cs="Times New Roman"/>
                <w:sz w:val="24"/>
                <w:szCs w:val="24"/>
              </w:rPr>
              <w:t>500 "</w:t>
            </w:r>
            <w:r>
              <w:rPr>
                <w:rFonts w:ascii="Times New Roman CYR" w:hAnsi="Times New Roman CYR" w:cs="Times New Roman CYR"/>
                <w:sz w:val="24"/>
                <w:szCs w:val="24"/>
              </w:rPr>
              <w:t>Об утверждении Порядка разработки, реализации и оценке эффективности реализации муниципальных программ Инсарского муниципального района и Методических рекомендаций по разработке и реализации муниципальных программ Инсарского муниципального района", распоряжение администрации Инсарского муниципального района от 29.08.2022</w:t>
            </w:r>
            <w:r>
              <w:rPr>
                <w:rFonts w:ascii="Times New Roman" w:hAnsi="Times New Roman" w:cs="Times New Roman"/>
                <w:sz w:val="24"/>
                <w:szCs w:val="24"/>
                <w:lang w:val="en-US"/>
              </w:rPr>
              <w:t> </w:t>
            </w:r>
            <w:r>
              <w:rPr>
                <w:rFonts w:ascii="Times New Roman CYR" w:hAnsi="Times New Roman CYR" w:cs="Times New Roman CYR"/>
                <w:sz w:val="24"/>
                <w:szCs w:val="24"/>
              </w:rPr>
              <w:t>г. N</w:t>
            </w:r>
            <w:r>
              <w:rPr>
                <w:rFonts w:ascii="Times New Roman" w:hAnsi="Times New Roman" w:cs="Times New Roman"/>
                <w:sz w:val="24"/>
                <w:szCs w:val="24"/>
                <w:lang w:val="en-US"/>
              </w:rPr>
              <w:t> </w:t>
            </w:r>
            <w:r w:rsidRPr="00BC7A81">
              <w:rPr>
                <w:rFonts w:ascii="Times New Roman" w:hAnsi="Times New Roman" w:cs="Times New Roman"/>
                <w:sz w:val="24"/>
                <w:szCs w:val="24"/>
              </w:rPr>
              <w:t>44-</w:t>
            </w:r>
            <w:r>
              <w:rPr>
                <w:rFonts w:ascii="Times New Roman CYR" w:hAnsi="Times New Roman CYR" w:cs="Times New Roman CYR"/>
                <w:sz w:val="24"/>
                <w:szCs w:val="24"/>
              </w:rPr>
              <w:t>р</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Ответственный исполнитель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Отдел по управлению муниципальным имуществом и земельных отношений экономического управления администрации Инсарского муниципального района</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Цель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Создание условий для повышения эффективности и прозрачности управления и распоряжения муниципальным имуществом и земельными ресурсами в Инсарском муниципальном районе Республики Мордовия.</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Задачи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Обеспечение полноты и актуальности учета муниципального имущества Инсарского муниципального района Республики Мордовия.</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Обеспечение государственной регистрации права собственности Инсарского муниципального района на объекты недвижимого имущества.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Оптимизация структуры муниципального имущества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Вовлечение муниципального имущества Инсарского муниципального района в экономический оборот.</w:t>
            </w:r>
          </w:p>
          <w:p w:rsidR="00BC7A81" w:rsidRPr="00BC7A81" w:rsidRDefault="00BC7A81">
            <w:pPr>
              <w:autoSpaceDE w:val="0"/>
              <w:autoSpaceDN w:val="0"/>
              <w:adjustRightInd w:val="0"/>
              <w:spacing w:after="0" w:line="240" w:lineRule="auto"/>
              <w:jc w:val="both"/>
              <w:rPr>
                <w:rFonts w:ascii="Calibri" w:hAnsi="Calibri" w:cs="Calibri"/>
              </w:rPr>
            </w:pPr>
            <w:r w:rsidRPr="00BC7A81">
              <w:rPr>
                <w:rFonts w:ascii="Times New Roman" w:hAnsi="Times New Roman" w:cs="Times New Roman"/>
                <w:sz w:val="24"/>
                <w:szCs w:val="24"/>
              </w:rPr>
              <w:t xml:space="preserve">5. </w:t>
            </w:r>
            <w:r>
              <w:rPr>
                <w:rFonts w:ascii="Times New Roman CYR" w:hAnsi="Times New Roman CYR" w:cs="Times New Roman CYR"/>
                <w:sz w:val="24"/>
                <w:szCs w:val="24"/>
              </w:rPr>
              <w:t xml:space="preserve">Осуществление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эффективным использованием муниципального имущества Инсарского муниципального района.</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Целевые индикаторы и показатели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Удельный вес внесенных изменений в Реестр муниципального имущества от общего количества изменений, необходимых для внесения в реестр в соответствии с представленными обновленными картами учета имущества и перечнями основных средств ежегодно достигнет 100%;</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Удельный вес объектов недвижимого имущества, находящихся в собственности Инсарского муниципального района, на которые зарегистрировано право собственности районного муниципального образования, по отношению к общему количеству объектов недвижимого имущества, внесенных в Реестр муниципального имущества за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lastRenderedPageBreak/>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гг. достигнет 100%;</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Удельный вес площади земельных участков, на которые зарегистрировано право собственности Инсарского муниципального района, по отношению к общей площади земельных участков, подлежащих регистрации в собственность районного муниципального образования ежегодно с 2016 по 2025</w:t>
            </w:r>
            <w:r>
              <w:rPr>
                <w:rFonts w:ascii="Times New Roman" w:hAnsi="Times New Roman" w:cs="Times New Roman"/>
                <w:sz w:val="24"/>
                <w:szCs w:val="24"/>
                <w:lang w:val="en-US"/>
              </w:rPr>
              <w:t> </w:t>
            </w:r>
            <w:r>
              <w:rPr>
                <w:rFonts w:ascii="Times New Roman CYR" w:hAnsi="Times New Roman CYR" w:cs="Times New Roman CYR"/>
                <w:sz w:val="24"/>
                <w:szCs w:val="24"/>
              </w:rPr>
              <w:t>гг. достигнет 97%;</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Удельный вес приватизированных объектов муниципального имущества к общему количеству объектов муниципального имущества, включенных в Прогнозный план (программу) приватизации муниципального имущества на соответствующий год ежегодно достигнет 100%;</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5. </w:t>
            </w:r>
            <w:r>
              <w:rPr>
                <w:rFonts w:ascii="Times New Roman CYR" w:hAnsi="Times New Roman CYR" w:cs="Times New Roman CYR"/>
                <w:sz w:val="24"/>
                <w:szCs w:val="24"/>
              </w:rPr>
              <w:t>Доходы от приватизации муниципального имущества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достигнут 200,00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6. </w:t>
            </w:r>
            <w:r>
              <w:rPr>
                <w:rFonts w:ascii="Times New Roman CYR" w:hAnsi="Times New Roman CYR" w:cs="Times New Roman CYR"/>
                <w:sz w:val="24"/>
                <w:szCs w:val="24"/>
              </w:rPr>
              <w:t>Количество муниципальных унитарных предприятий к 2025</w:t>
            </w:r>
            <w:r>
              <w:rPr>
                <w:rFonts w:ascii="Times New Roman" w:hAnsi="Times New Roman" w:cs="Times New Roman"/>
                <w:sz w:val="24"/>
                <w:szCs w:val="24"/>
                <w:lang w:val="en-US"/>
              </w:rPr>
              <w:t> </w:t>
            </w:r>
            <w:r>
              <w:rPr>
                <w:rFonts w:ascii="Times New Roman CYR" w:hAnsi="Times New Roman CYR" w:cs="Times New Roman CYR"/>
                <w:sz w:val="24"/>
                <w:szCs w:val="24"/>
              </w:rPr>
              <w:t>году составят 0 ед.;</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7. </w:t>
            </w:r>
            <w:r>
              <w:rPr>
                <w:rFonts w:ascii="Times New Roman CYR" w:hAnsi="Times New Roman CYR" w:cs="Times New Roman CYR"/>
                <w:sz w:val="24"/>
                <w:szCs w:val="24"/>
              </w:rPr>
              <w:t>Удельный вес объектов недвижимого имущества, предоставленных в аренду, безвозмездное пользование, закрепленных в оперативном управлении и хозяйственном ведении, к общему количеству объектов недвижимого имущества, внесенных в Реестр муниципального имущества Инсарского муниципального района ежегодно с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гг. достигнет 97%;</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8. </w:t>
            </w:r>
            <w:r>
              <w:rPr>
                <w:rFonts w:ascii="Times New Roman CYR" w:hAnsi="Times New Roman CYR" w:cs="Times New Roman CYR"/>
                <w:sz w:val="24"/>
                <w:szCs w:val="24"/>
              </w:rPr>
              <w:t>Доходы, полученные от продажи земельных участков в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достигнут 800,00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9. </w:t>
            </w:r>
            <w:r>
              <w:rPr>
                <w:rFonts w:ascii="Times New Roman CYR" w:hAnsi="Times New Roman CYR" w:cs="Times New Roman CYR"/>
                <w:sz w:val="24"/>
                <w:szCs w:val="24"/>
              </w:rPr>
              <w:t>Доходы, полученные от аренды земельных участков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достигнут 1000,00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10. </w:t>
            </w:r>
            <w:r>
              <w:rPr>
                <w:rFonts w:ascii="Times New Roman CYR" w:hAnsi="Times New Roman CYR" w:cs="Times New Roman CYR"/>
                <w:sz w:val="24"/>
                <w:szCs w:val="24"/>
              </w:rPr>
              <w:t>Расходы на проектно-изыскательные, кадастровые работы в отношении земельных участков для однократного бесплатного предоставления земельных участков в собственность гражданам имеющих трех и более детей на территории Инсарского муниципального района в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7,00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11. </w:t>
            </w:r>
            <w:r>
              <w:rPr>
                <w:rFonts w:ascii="Times New Roman CYR" w:hAnsi="Times New Roman CYR" w:cs="Times New Roman CYR"/>
                <w:sz w:val="24"/>
                <w:szCs w:val="24"/>
              </w:rPr>
              <w:t>Расходы на проведение комплексных кадастровых работ в отношении земельных участков на территории района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1 210,9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12. </w:t>
            </w:r>
            <w:r>
              <w:rPr>
                <w:rFonts w:ascii="Times New Roman CYR" w:hAnsi="Times New Roman CYR" w:cs="Times New Roman CYR"/>
                <w:sz w:val="24"/>
                <w:szCs w:val="24"/>
              </w:rPr>
              <w:t>Расходы на кадастровые работы и подготовка землеустроительных дел в отношении земельных участков спецфонда из земель сельскохозяйственного назначения на территории Инсарского муниципального района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698,1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Pr="00BC7A81" w:rsidRDefault="00BC7A81">
            <w:pPr>
              <w:autoSpaceDE w:val="0"/>
              <w:autoSpaceDN w:val="0"/>
              <w:adjustRightInd w:val="0"/>
              <w:spacing w:after="0" w:line="240" w:lineRule="auto"/>
              <w:jc w:val="both"/>
              <w:rPr>
                <w:rFonts w:ascii="Calibri" w:hAnsi="Calibri" w:cs="Calibri"/>
              </w:rPr>
            </w:pPr>
            <w:r w:rsidRPr="00BC7A81">
              <w:rPr>
                <w:rFonts w:ascii="Times New Roman" w:hAnsi="Times New Roman" w:cs="Times New Roman"/>
                <w:sz w:val="24"/>
                <w:szCs w:val="24"/>
              </w:rPr>
              <w:t xml:space="preserve">13. </w:t>
            </w:r>
            <w:r>
              <w:rPr>
                <w:rFonts w:ascii="Times New Roman CYR" w:hAnsi="Times New Roman CYR" w:cs="Times New Roman CYR"/>
                <w:sz w:val="24"/>
                <w:szCs w:val="24"/>
              </w:rPr>
              <w:t>Расходы на подготовку генеральных планов сельских поселений, правил землепользования и застройки поселений, и внесение в них изменений на территории района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100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tc>
      </w:tr>
      <w:tr w:rsid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Этапы и сроки реализации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2016 - 2025 </w:t>
            </w:r>
            <w:r>
              <w:rPr>
                <w:rFonts w:ascii="Times New Roman CYR" w:hAnsi="Times New Roman CYR" w:cs="Times New Roman CYR"/>
                <w:sz w:val="24"/>
                <w:szCs w:val="24"/>
              </w:rPr>
              <w:t>годы, без выделения этапов</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Финансовое обеспечение реализации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Общий объем ресурсного обеспечения Программы на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годы по всем источникам финансирования - 3 343,4 тыс.</w:t>
            </w:r>
            <w:r>
              <w:rPr>
                <w:rFonts w:ascii="Times New Roman" w:hAnsi="Times New Roman" w:cs="Times New Roman"/>
                <w:sz w:val="24"/>
                <w:szCs w:val="24"/>
                <w:lang w:val="en-US"/>
              </w:rPr>
              <w:t> </w:t>
            </w:r>
            <w:r>
              <w:rPr>
                <w:rFonts w:ascii="Times New Roman CYR" w:hAnsi="Times New Roman CYR" w:cs="Times New Roman CYR"/>
                <w:sz w:val="24"/>
                <w:szCs w:val="24"/>
              </w:rPr>
              <w:t>руб., в том числе по годам:</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2016</w:t>
            </w:r>
            <w:r>
              <w:rPr>
                <w:rFonts w:ascii="Times New Roman" w:hAnsi="Times New Roman" w:cs="Times New Roman"/>
                <w:sz w:val="24"/>
                <w:szCs w:val="24"/>
                <w:lang w:val="en-US"/>
              </w:rPr>
              <w:t> </w:t>
            </w:r>
            <w:r>
              <w:rPr>
                <w:rFonts w:ascii="Times New Roman CYR" w:hAnsi="Times New Roman CYR" w:cs="Times New Roman CYR"/>
                <w:sz w:val="24"/>
                <w:szCs w:val="24"/>
              </w:rPr>
              <w:t>год - 200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2017</w:t>
            </w:r>
            <w:r>
              <w:rPr>
                <w:rFonts w:ascii="Times New Roman" w:hAnsi="Times New Roman" w:cs="Times New Roman"/>
                <w:sz w:val="24"/>
                <w:szCs w:val="24"/>
                <w:lang w:val="en-US"/>
              </w:rPr>
              <w:t> </w:t>
            </w:r>
            <w:r>
              <w:rPr>
                <w:rFonts w:ascii="Times New Roman CYR" w:hAnsi="Times New Roman CYR" w:cs="Times New Roman CYR"/>
                <w:sz w:val="24"/>
                <w:szCs w:val="24"/>
              </w:rPr>
              <w:t>год - 100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2018</w:t>
            </w:r>
            <w:r>
              <w:rPr>
                <w:rFonts w:ascii="Times New Roman" w:hAnsi="Times New Roman" w:cs="Times New Roman"/>
                <w:sz w:val="24"/>
                <w:szCs w:val="24"/>
                <w:lang w:val="en-US"/>
              </w:rPr>
              <w:t> </w:t>
            </w:r>
            <w:r>
              <w:rPr>
                <w:rFonts w:ascii="Times New Roman CYR" w:hAnsi="Times New Roman CYR" w:cs="Times New Roman CYR"/>
                <w:sz w:val="24"/>
                <w:szCs w:val="24"/>
              </w:rPr>
              <w:t>год - 100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2019</w:t>
            </w:r>
            <w:r>
              <w:rPr>
                <w:rFonts w:ascii="Times New Roman" w:hAnsi="Times New Roman" w:cs="Times New Roman"/>
                <w:sz w:val="24"/>
                <w:szCs w:val="24"/>
                <w:lang w:val="en-US"/>
              </w:rPr>
              <w:t> </w:t>
            </w:r>
            <w:r>
              <w:rPr>
                <w:rFonts w:ascii="Times New Roman CYR" w:hAnsi="Times New Roman CYR" w:cs="Times New Roman CYR"/>
                <w:sz w:val="24"/>
                <w:szCs w:val="24"/>
              </w:rPr>
              <w:t>год - 100,4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2020</w:t>
            </w:r>
            <w:r>
              <w:rPr>
                <w:rFonts w:ascii="Times New Roman" w:hAnsi="Times New Roman" w:cs="Times New Roman"/>
                <w:sz w:val="24"/>
                <w:szCs w:val="24"/>
                <w:lang w:val="en-US"/>
              </w:rPr>
              <w:t> </w:t>
            </w:r>
            <w:r>
              <w:rPr>
                <w:rFonts w:ascii="Times New Roman CYR" w:hAnsi="Times New Roman CYR" w:cs="Times New Roman CYR"/>
                <w:sz w:val="24"/>
                <w:szCs w:val="24"/>
              </w:rPr>
              <w:t>год - 93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2021</w:t>
            </w:r>
            <w:r>
              <w:rPr>
                <w:rFonts w:ascii="Times New Roman" w:hAnsi="Times New Roman" w:cs="Times New Roman"/>
                <w:sz w:val="24"/>
                <w:szCs w:val="24"/>
                <w:lang w:val="en-US"/>
              </w:rPr>
              <w:t> </w:t>
            </w:r>
            <w:r>
              <w:rPr>
                <w:rFonts w:ascii="Times New Roman CYR" w:hAnsi="Times New Roman CYR" w:cs="Times New Roman CYR"/>
                <w:sz w:val="24"/>
                <w:szCs w:val="24"/>
              </w:rPr>
              <w:t>год - 226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2022</w:t>
            </w:r>
            <w:r>
              <w:rPr>
                <w:rFonts w:ascii="Times New Roman" w:hAnsi="Times New Roman" w:cs="Times New Roman"/>
                <w:sz w:val="24"/>
                <w:szCs w:val="24"/>
                <w:lang w:val="en-US"/>
              </w:rPr>
              <w:t> </w:t>
            </w:r>
            <w:r>
              <w:rPr>
                <w:rFonts w:ascii="Times New Roman CYR" w:hAnsi="Times New Roman CYR" w:cs="Times New Roman CYR"/>
                <w:sz w:val="24"/>
                <w:szCs w:val="24"/>
              </w:rPr>
              <w:t>год - 1902,7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 - 744,8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Республики Мордовия - 1157,9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2023</w:t>
            </w:r>
            <w:r>
              <w:rPr>
                <w:rFonts w:ascii="Times New Roman" w:hAnsi="Times New Roman" w:cs="Times New Roman"/>
                <w:sz w:val="24"/>
                <w:szCs w:val="24"/>
                <w:lang w:val="en-US"/>
              </w:rPr>
              <w:t> </w:t>
            </w:r>
            <w:r>
              <w:rPr>
                <w:rFonts w:ascii="Times New Roman CYR" w:hAnsi="Times New Roman CYR" w:cs="Times New Roman CYR"/>
                <w:sz w:val="24"/>
                <w:szCs w:val="24"/>
              </w:rPr>
              <w:t>год - 460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2024</w:t>
            </w:r>
            <w:r>
              <w:rPr>
                <w:rFonts w:ascii="Times New Roman" w:hAnsi="Times New Roman" w:cs="Times New Roman"/>
                <w:sz w:val="24"/>
                <w:szCs w:val="24"/>
                <w:lang w:val="en-US"/>
              </w:rPr>
              <w:t> </w:t>
            </w:r>
            <w:r>
              <w:rPr>
                <w:rFonts w:ascii="Times New Roman CYR" w:hAnsi="Times New Roman CYR" w:cs="Times New Roman CYR"/>
                <w:sz w:val="24"/>
                <w:szCs w:val="24"/>
              </w:rPr>
              <w:t>год - 171,3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год - 90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Объемы финансирования мероприятий Программы ежегодно подлежат уточнению при формировании бюджета на очередной финансовый год</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Ожидаемые конечные результаты реализации Программы и показатели социально-экономической эффективности</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Сокращение количества объектов муниципальной собственности, оптимизация структуры муниципального имущества, в том числе оптимизация количества муниципальных унитарных предприятий, применение прозрачных и эффективных приватизационных процедур</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Правовая регламентация в сфере управления и распоряжения муниципальным имуществом и земельными участками, находящимися в собственности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Инвентаризация объектов муниципальной собственности, оформление прав на них</w:t>
            </w:r>
          </w:p>
          <w:p w:rsidR="00BC7A81" w:rsidRPr="00BC7A81" w:rsidRDefault="00BC7A81">
            <w:pPr>
              <w:autoSpaceDE w:val="0"/>
              <w:autoSpaceDN w:val="0"/>
              <w:adjustRightInd w:val="0"/>
              <w:spacing w:after="0" w:line="240" w:lineRule="auto"/>
              <w:jc w:val="both"/>
              <w:rPr>
                <w:rFonts w:ascii="Calibri" w:hAnsi="Calibri" w:cs="Calibri"/>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Повышение эффективности использования муниципального имущества и земельных участков, находящихся в собственности Инсарского муниципального района.</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Основные мероприятия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рамках Муниципальной Программы и для достижения обозначенных выше целей и задач Муниципальной Программы планируется реализация комплекса следующих основных мероприятий:</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актуализация данных Реестра муниципального имущества;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обеспечение государственной регистрации права собственности на объекты недвижимого имущества и земельные участки;</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проведение приватизации муниципального имущества;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передача муниципального имущества в аренду, безвозмездное пользование, закрепление в оперативное управление, хозяйственное ведение;</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проведение проверок сохранности и целевого использования муниципального имущества;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защита имущественных прав и интересов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постановка на государственный кадастровый учет земельных участков под объектами недвижимости для дальнейшего налогообложения;</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осуществление муниципального земельного контроля на территории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предоставление земельных участков в аренду, постоянное (бессрочное) пользование, безвозмездное срочное пользование;</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 </w:t>
            </w:r>
            <w:r>
              <w:rPr>
                <w:rFonts w:ascii="Times New Roman CYR" w:hAnsi="Times New Roman CYR" w:cs="Times New Roman CYR"/>
                <w:sz w:val="24"/>
                <w:szCs w:val="24"/>
              </w:rPr>
              <w:t>продажа земельных участков;</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подготовка генеральных планов сельских поселений;</w:t>
            </w:r>
          </w:p>
          <w:p w:rsidR="00BC7A81" w:rsidRPr="00BC7A81" w:rsidRDefault="00BC7A81">
            <w:pPr>
              <w:autoSpaceDE w:val="0"/>
              <w:autoSpaceDN w:val="0"/>
              <w:adjustRightInd w:val="0"/>
              <w:spacing w:after="0" w:line="240" w:lineRule="auto"/>
              <w:jc w:val="both"/>
              <w:rPr>
                <w:rFonts w:ascii="Calibri" w:hAnsi="Calibri" w:cs="Calibri"/>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подготовка правил землепользования и застройки поселений, и внесение в них изменений.</w:t>
            </w:r>
          </w:p>
        </w:tc>
      </w:tr>
      <w:tr w:rsidR="00BC7A81" w:rsidRPr="00BC7A81">
        <w:tblPrEx>
          <w:tblCellMar>
            <w:top w:w="0" w:type="dxa"/>
            <w:left w:w="0" w:type="dxa"/>
            <w:bottom w:w="0" w:type="dxa"/>
            <w:right w:w="0" w:type="dxa"/>
          </w:tblCellMar>
        </w:tblPrEx>
        <w:trPr>
          <w:trHeight w:val="1"/>
        </w:trPr>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 xml:space="preserve">Система организаций и </w:t>
            </w:r>
            <w:proofErr w:type="gramStart"/>
            <w:r>
              <w:rPr>
                <w:rFonts w:ascii="Times New Roman CYR" w:hAnsi="Times New Roman CYR" w:cs="Times New Roman CYR"/>
                <w:sz w:val="24"/>
                <w:szCs w:val="24"/>
              </w:rPr>
              <w:t>контроль за</w:t>
            </w:r>
            <w:proofErr w:type="gramEnd"/>
            <w:r>
              <w:rPr>
                <w:rFonts w:ascii="Times New Roman CYR" w:hAnsi="Times New Roman CYR" w:cs="Times New Roman CYR"/>
                <w:sz w:val="24"/>
                <w:szCs w:val="24"/>
              </w:rPr>
              <w:t xml:space="preserve"> исполнением Программы</w:t>
            </w:r>
          </w:p>
        </w:tc>
        <w:tc>
          <w:tcPr>
            <w:tcW w:w="7824"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Реализация и текущее управление реализацией Программы осуществляется ответственным исполнителем совместно с соисполнителем.</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Контроль за</w:t>
            </w:r>
            <w:proofErr w:type="gramEnd"/>
            <w:r>
              <w:rPr>
                <w:rFonts w:ascii="Times New Roman CYR" w:hAnsi="Times New Roman CYR" w:cs="Times New Roman CYR"/>
                <w:sz w:val="24"/>
                <w:szCs w:val="24"/>
              </w:rPr>
              <w:t xml:space="preserve"> реализацией Программы осуществляет Экономическое управление администрации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целях обеспечения оперативного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реализацией Программы Экономическое управление администрации Инсарского муниципального района на основании сведений представленных ответственный исполнитель Программы:</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вносит на рассмотрение Главе Инсарского муниципального района отчет об исполнении плана реализации Программы по итогам: полугодия, 9 месяцев - до 25-го числа второго месяца, следующего за отчетным периодом; за год - до 1 марта года, следующего за отчетным периодом.</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Требования к отчету об исполнении плана реализации определяются Методическими рекомендациями по разработке и реализации Программы Инсарского муниципального района;</w:t>
            </w:r>
          </w:p>
          <w:p w:rsidR="00BC7A81" w:rsidRDefault="00BC7A81">
            <w:pPr>
              <w:autoSpaceDE w:val="0"/>
              <w:autoSpaceDN w:val="0"/>
              <w:adjustRightInd w:val="0"/>
              <w:spacing w:after="0" w:line="240" w:lineRule="auto"/>
              <w:jc w:val="both"/>
              <w:rPr>
                <w:rFonts w:ascii="Times New Roman CYR" w:hAnsi="Times New Roman CYR" w:cs="Times New Roman CYR"/>
                <w:sz w:val="24"/>
                <w:szCs w:val="24"/>
              </w:rPr>
            </w:pPr>
            <w:proofErr w:type="gramStart"/>
            <w:r w:rsidRPr="00BC7A81">
              <w:rPr>
                <w:rFonts w:ascii="Times New Roman" w:hAnsi="Times New Roman" w:cs="Times New Roman"/>
                <w:sz w:val="24"/>
                <w:szCs w:val="24"/>
              </w:rPr>
              <w:t xml:space="preserve">2) </w:t>
            </w:r>
            <w:r>
              <w:rPr>
                <w:rFonts w:ascii="Times New Roman CYR" w:hAnsi="Times New Roman CYR" w:cs="Times New Roman CYR"/>
                <w:sz w:val="24"/>
                <w:szCs w:val="24"/>
              </w:rPr>
              <w:t>отчеты по итогам полугодия, 9 месяцев, в срок до 15-го числа месяца, следующего за отчетным кварталом, предоставляет в структурное подразделение администрации Инсарского муниципального района, ответственное за оценку эффективности реализации Программы, сведения об использовании средств местного, республиканского и федерального бюджетов, внебюджетных источников на реализацию Программы по форме согласно приложению 13 к Методическим рекомендациям по разработке и реализации Программы Инсарского муниципального</w:t>
            </w:r>
            <w:proofErr w:type="gramEnd"/>
            <w:r>
              <w:rPr>
                <w:rFonts w:ascii="Times New Roman CYR" w:hAnsi="Times New Roman CYR" w:cs="Times New Roman CYR"/>
                <w:sz w:val="24"/>
                <w:szCs w:val="24"/>
              </w:rPr>
              <w:t xml:space="preserve"> района.</w:t>
            </w:r>
          </w:p>
          <w:p w:rsidR="00BC7A81" w:rsidRPr="00BC7A81" w:rsidRDefault="00BC7A8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Экономическое управление администрации Инсарского муниципального района по результатам рассмотрения отчета о реализации Программы за год подготавливает отчет о реализации Программы за год (далее - годовой отчет) в срок до 1 мая года, следующего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отчетным.</w:t>
            </w:r>
          </w:p>
        </w:tc>
      </w:tr>
    </w:tbl>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1. </w:t>
      </w:r>
      <w:r>
        <w:rPr>
          <w:rFonts w:ascii="Times New Roman CYR" w:hAnsi="Times New Roman CYR" w:cs="Times New Roman CYR"/>
          <w:b/>
          <w:bCs/>
          <w:sz w:val="24"/>
          <w:szCs w:val="24"/>
        </w:rPr>
        <w:t>Общая характеристика сферы реализации Программы, основные проблемы и прогноз развития в сфере управления муниципальным имуществом и земельными ресурсами</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Управление муниципальным имуществом Инсарского муниципального района представляет собой совокупность экономических отношений с участием муниципального имущества, закрепленного на вещных правах за муниципальными унитарными предприятиями, казенными учреждениями, муниципальными учреждениями Инсарского муниципального района, а также имущественных прав составляющего муниципальную казну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Деятельность по управлению и распоряжению муниципальным имуществом включает следующие основные направления: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 xml:space="preserve">управление муниципальным имуществом (учет имущества, его закрепление за соответствующими организациями, согласование списания основных средств, государственная регистрация права собственности Инсарского муниципального района на </w:t>
      </w:r>
      <w:r>
        <w:rPr>
          <w:rFonts w:ascii="Times New Roman CYR" w:hAnsi="Times New Roman CYR" w:cs="Times New Roman CYR"/>
          <w:sz w:val="24"/>
          <w:szCs w:val="24"/>
        </w:rPr>
        <w:lastRenderedPageBreak/>
        <w:t>объекты недвижимого имущества, предоставление имущества в аренду и безвозмездное пользование, разграничение и перераспределение имущества, администрирование неналоговых доходов от использования и распоряжения имуществом);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приватизация и распоряжение муниципальным имуществом, управление акциями, долями в уставных капиталах хозяйственных обществ;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proofErr w:type="gramStart"/>
      <w:r w:rsidRPr="00BC7A81">
        <w:rPr>
          <w:rFonts w:ascii="Times New Roman" w:hAnsi="Times New Roman" w:cs="Times New Roman"/>
          <w:sz w:val="24"/>
          <w:szCs w:val="24"/>
        </w:rPr>
        <w:t xml:space="preserve">- </w:t>
      </w:r>
      <w:r>
        <w:rPr>
          <w:rFonts w:ascii="Times New Roman CYR" w:hAnsi="Times New Roman CYR" w:cs="Times New Roman CYR"/>
          <w:sz w:val="24"/>
          <w:szCs w:val="24"/>
        </w:rPr>
        <w:t>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(государственная регистрация права собственности Инсарского муниципального района на земельные участки, формирование Земельного фонда, актуализация кадастровой стоимости земель, передача земельных участков, находящихся в собственности Инсарского муниципального района и земельных участков, государственная собственность на которые не разграничена (далее - земельные участки), в аренду, постоянное бессрочное</w:t>
      </w:r>
      <w:proofErr w:type="gramEnd"/>
      <w:r>
        <w:rPr>
          <w:rFonts w:ascii="Times New Roman CYR" w:hAnsi="Times New Roman CYR" w:cs="Times New Roman CYR"/>
          <w:sz w:val="24"/>
          <w:szCs w:val="24"/>
        </w:rPr>
        <w:t xml:space="preserve"> пользование, безвозмездное срочное пользование, администрирование неналоговых доходов от использования земельных участков);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судебная защита имущественных прав и интересов Инсарского муниципального района, законотворческая деятельность.</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 течение последних лет созданы необходимые условия для достижения целей и задач в области управления муниципальным имуществом, включая создание правовых условий для оптимизации механизмов управления муниципальными учреждениями, муниципальными унитарными предприятиями.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Основными прогнозируемыми результатами в сфере управления муниципальным имуществом и земельными участками, находящимися в собственности Инсарского муниципального района, являются: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 xml:space="preserve">сокращение количества объектов муниципальной собственности, оптимизация структуры муниципального </w:t>
      </w:r>
      <w:proofErr w:type="gramStart"/>
      <w:r>
        <w:rPr>
          <w:rFonts w:ascii="Times New Roman CYR" w:hAnsi="Times New Roman CYR" w:cs="Times New Roman CYR"/>
          <w:sz w:val="24"/>
          <w:szCs w:val="24"/>
        </w:rPr>
        <w:t>имущества</w:t>
      </w:r>
      <w:proofErr w:type="gramEnd"/>
      <w:r>
        <w:rPr>
          <w:rFonts w:ascii="Times New Roman CYR" w:hAnsi="Times New Roman CYR" w:cs="Times New Roman CYR"/>
          <w:sz w:val="24"/>
          <w:szCs w:val="24"/>
        </w:rPr>
        <w:t xml:space="preserve"> в том числе оптимизация количества муниципальных унитарных предприятий, открытых акционерных обществ и обществ с ограниченной ответственностью с участием Инсарского муниципального района и применение прозрачных и эффективных приватизационных процедур;</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детальная правовая регламентация в сфере управления и распоряжения муниципальным имуществом и земельными участками;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инвентаризация объектов республиканской собственности, оформление прав на них;</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повышение эффективности использования муниципального имущества и земельных участков.</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2. </w:t>
      </w:r>
      <w:r>
        <w:rPr>
          <w:rFonts w:ascii="Times New Roman CYR" w:hAnsi="Times New Roman CYR" w:cs="Times New Roman CYR"/>
          <w:b/>
          <w:bCs/>
          <w:sz w:val="24"/>
          <w:szCs w:val="24"/>
        </w:rPr>
        <w:t>Цели, задачи и индикаторы реализации Программы, а также основные ожидаемые результаты и сроки ее реализации</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Муниципальная Программа определяет основные цели и задачи в сфере управления муниципальным имуществом и приватизации, а также управления и распоряжения земельными ресурсами; систему мероприятий по их достижению с указанием сроков реализации, ресурсного обеспечения, планируемых показателей и ожидаемых результатов реализации Муниципальной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Основной целью Муниципальной Программы является создание условий для повышения эффективности и прозрачности управления и распоряжения муниципальным имуществом и земельными ресурсами.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При достижении цели Муниципальной Программы планируется обеспечить выполнение следующих задач:</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 </w:t>
      </w:r>
      <w:r>
        <w:rPr>
          <w:rFonts w:ascii="Times New Roman CYR" w:hAnsi="Times New Roman CYR" w:cs="Times New Roman CYR"/>
          <w:sz w:val="24"/>
          <w:szCs w:val="24"/>
        </w:rPr>
        <w:t>обеспечение полноты и актуальности учета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обеспечение государственной регистрации права собственности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оптимизация структуры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вовлечение муниципального имущества Инсарского муниципального района в экономический оборот;</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 xml:space="preserve">осуществление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эффективным использованием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обеспечение реализации муниципальной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Для дальнейшего социально-экономического развития Инсарского муниципального района требуется формирование эффективной структуры и системы управления муниципальным имуществом и земельными ресурсами. Наряду с решением задач по совершенствованию системы учета муниципального имущества, будет уделяться внимание оптимизации структуры (состава) имущества, а также повышению эффективности использования и распоряжения муниципальным имуществом и земельными ресурсами, в том числе активному вовлечению его в экономический оборот.</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Планируемые меры позволят стабилизировать поступление в муниципальный бюджет доходов от использования и реализации муниципального имущества Инсарского муниципального района, в том числе земельных участков.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При этом важную роль будет играть реализация мер, направленных на усиление контроля сохранности и целевого использования муниципального имущества Инсарского муниципального района, защиту имущественных прав и интересов, что позволит обеспечить эффективность его использования, а также повысит степень ответственности руководителей муниципальных учреждений и предприятий, иных пользователей за переданное им муниципальное имущество.</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Муниципальная Программа реализуется в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годах.</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Реализация Муниципальной Программы осуществляется без выделения этапов.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К 2025</w:t>
      </w:r>
      <w:r>
        <w:rPr>
          <w:rFonts w:ascii="Times New Roman" w:hAnsi="Times New Roman" w:cs="Times New Roman"/>
          <w:sz w:val="24"/>
          <w:szCs w:val="24"/>
          <w:lang w:val="en-US"/>
        </w:rPr>
        <w:t> </w:t>
      </w:r>
      <w:r>
        <w:rPr>
          <w:rFonts w:ascii="Times New Roman CYR" w:hAnsi="Times New Roman CYR" w:cs="Times New Roman CYR"/>
          <w:sz w:val="24"/>
          <w:szCs w:val="24"/>
        </w:rPr>
        <w:t>году планируется достижение следующих результатов: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 сфере управления муниципальным имуществом входят:</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Удельный вес внесенных изменений в Реестр муниципального имущества от общего количества изменений, необходимых для внесения в реестр в соответствии с представленными обновленными картами учета имущества и перечнями основных средств ежегодно достигнет 100%;</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Удельный вес объектов недвижимого имущества, находящихся в собственности Инсарского муниципального района, на которые зарегистрировано право собственности Инсарского муниципального района, по отношению к общему количеству объектов недвижимого имущества, внесенных в Реестр муниципального имущества за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гг. достигнет 100%;</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Удельный вес площади земельных участков, на которые зарегистрировано право собственности Инсарского муниципального района, по отношению к общей площади земельных участков, подлежащих регистрации в собственность районного муниципального образования ежегодно с 2016 по 2025</w:t>
      </w:r>
      <w:r>
        <w:rPr>
          <w:rFonts w:ascii="Times New Roman" w:hAnsi="Times New Roman" w:cs="Times New Roman"/>
          <w:sz w:val="24"/>
          <w:szCs w:val="24"/>
          <w:lang w:val="en-US"/>
        </w:rPr>
        <w:t> </w:t>
      </w:r>
      <w:r>
        <w:rPr>
          <w:rFonts w:ascii="Times New Roman CYR" w:hAnsi="Times New Roman CYR" w:cs="Times New Roman CYR"/>
          <w:sz w:val="24"/>
          <w:szCs w:val="24"/>
        </w:rPr>
        <w:t>гг. достигнет 97%;</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Удельный вес приватизированных объектов муниципального имущества к общему количеству объектов муниципального имущества, включенных в Прогнозный план (программу) приватизации муниципального имущества на соответствующий год ежегодно достигнет 100%;</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5. </w:t>
      </w:r>
      <w:r>
        <w:rPr>
          <w:rFonts w:ascii="Times New Roman CYR" w:hAnsi="Times New Roman CYR" w:cs="Times New Roman CYR"/>
          <w:sz w:val="24"/>
          <w:szCs w:val="24"/>
        </w:rPr>
        <w:t>Доходы от приватизации муниципального имущества в 2025</w:t>
      </w:r>
      <w:r>
        <w:rPr>
          <w:rFonts w:ascii="Times New Roman" w:hAnsi="Times New Roman" w:cs="Times New Roman"/>
          <w:sz w:val="24"/>
          <w:szCs w:val="24"/>
          <w:lang w:val="en-US"/>
        </w:rPr>
        <w:t> </w:t>
      </w:r>
      <w:r>
        <w:rPr>
          <w:rFonts w:ascii="Times New Roman CYR" w:hAnsi="Times New Roman CYR" w:cs="Times New Roman CYR"/>
          <w:sz w:val="24"/>
          <w:szCs w:val="24"/>
        </w:rPr>
        <w:t>гг. составят 200,00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6. </w:t>
      </w:r>
      <w:r>
        <w:rPr>
          <w:rFonts w:ascii="Times New Roman CYR" w:hAnsi="Times New Roman CYR" w:cs="Times New Roman CYR"/>
          <w:sz w:val="24"/>
          <w:szCs w:val="24"/>
        </w:rPr>
        <w:t>Количество муниципальных унитарных предприятий к 2025</w:t>
      </w:r>
      <w:r>
        <w:rPr>
          <w:rFonts w:ascii="Times New Roman" w:hAnsi="Times New Roman" w:cs="Times New Roman"/>
          <w:sz w:val="24"/>
          <w:szCs w:val="24"/>
          <w:lang w:val="en-US"/>
        </w:rPr>
        <w:t> </w:t>
      </w:r>
      <w:r>
        <w:rPr>
          <w:rFonts w:ascii="Times New Roman CYR" w:hAnsi="Times New Roman CYR" w:cs="Times New Roman CYR"/>
          <w:sz w:val="24"/>
          <w:szCs w:val="24"/>
        </w:rPr>
        <w:t>году составят 0 ед.;</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7. </w:t>
      </w:r>
      <w:r>
        <w:rPr>
          <w:rFonts w:ascii="Times New Roman CYR" w:hAnsi="Times New Roman CYR" w:cs="Times New Roman CYR"/>
          <w:sz w:val="24"/>
          <w:szCs w:val="24"/>
        </w:rPr>
        <w:t>Удельный вес объектов недвижимого имущества, предоставленных в аренду, безвозмездное пользование, закрепленных в оперативном управлении и хозяйственном ведении, к общему количеству объектов недвижимого имущества, внесенных в Реестр муниципального имущества Инсарского муниципального района ежегодно с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гг. достигнет 97%;</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 сфере управления земельными ресурсами входят:</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Доходы, полученные от продажи земельных участков в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достигнут</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800,00 </w:t>
      </w:r>
      <w:r>
        <w:rPr>
          <w:rFonts w:ascii="Times New Roman CYR" w:hAnsi="Times New Roman CYR" w:cs="Times New Roman CYR"/>
          <w:sz w:val="24"/>
          <w:szCs w:val="24"/>
        </w:rPr>
        <w:t>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Доходы, полученные от аренды земельных участков в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достигнут 1000,00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Расходы на проектно-изыскательные, кадастровые работы в отношении земельных участков для однократного бесплатного предоставления земельных участков в собственность гражданам имеющих трех и более детей на территории района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7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Расходы на проведение комплексных кадастровых работ в отношении земельных участков на территории района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1 210,9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5. </w:t>
      </w:r>
      <w:r>
        <w:rPr>
          <w:rFonts w:ascii="Times New Roman CYR" w:hAnsi="Times New Roman CYR" w:cs="Times New Roman CYR"/>
          <w:sz w:val="24"/>
          <w:szCs w:val="24"/>
        </w:rPr>
        <w:t>Расходы на кадастровые работы и подготовка землеустроительных дел в отношении земельных участков спецфонда из земель сельскохозяйственного назначения на территории Инсарского муниципального района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составят 698,1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6. </w:t>
      </w:r>
      <w:r>
        <w:rPr>
          <w:rFonts w:ascii="Times New Roman CYR" w:hAnsi="Times New Roman CYR" w:cs="Times New Roman CYR"/>
          <w:sz w:val="24"/>
          <w:szCs w:val="24"/>
        </w:rPr>
        <w:t>Расходы на подготовку генеральных планов сельских поселений, подготовку правил землепользования и застройки поселений и внесение в них изменений до 2025</w:t>
      </w:r>
      <w:r>
        <w:rPr>
          <w:rFonts w:ascii="Times New Roman" w:hAnsi="Times New Roman" w:cs="Times New Roman"/>
          <w:sz w:val="24"/>
          <w:szCs w:val="24"/>
          <w:lang w:val="en-US"/>
        </w:rPr>
        <w:t> </w:t>
      </w:r>
      <w:r>
        <w:rPr>
          <w:rFonts w:ascii="Times New Roman CYR" w:hAnsi="Times New Roman CYR" w:cs="Times New Roman CYR"/>
          <w:sz w:val="24"/>
          <w:szCs w:val="24"/>
        </w:rPr>
        <w:t>г.</w:t>
      </w:r>
      <w:r>
        <w:rPr>
          <w:rFonts w:ascii="Times New Roman" w:hAnsi="Times New Roman" w:cs="Times New Roman"/>
          <w:sz w:val="24"/>
          <w:szCs w:val="24"/>
          <w:lang w:val="en-US"/>
        </w:rPr>
        <w:t> </w:t>
      </w:r>
      <w:r>
        <w:rPr>
          <w:rFonts w:ascii="Times New Roman CYR" w:hAnsi="Times New Roman CYR" w:cs="Times New Roman CYR"/>
          <w:sz w:val="24"/>
          <w:szCs w:val="24"/>
        </w:rPr>
        <w:t>составит 100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3. </w:t>
      </w:r>
      <w:r>
        <w:rPr>
          <w:rFonts w:ascii="Times New Roman CYR" w:hAnsi="Times New Roman CYR" w:cs="Times New Roman CYR"/>
          <w:b/>
          <w:bCs/>
          <w:sz w:val="24"/>
          <w:szCs w:val="24"/>
        </w:rPr>
        <w:t>Обобщенная характеристика основных мероприятий Программы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Основные мероприятия Программы разбиты на 2 блока: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Блок "Управления муниципальным имуществом"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Актуализация реестра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внесение в реестр муниципального имущества сведений о земельных участках, зарегистрированных в собственность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своевременное отражение в реестре муниципального имущества изменений по объектам недвижимого имущества, в т. ч.</w:t>
      </w:r>
      <w:r>
        <w:rPr>
          <w:rFonts w:ascii="Times New Roman" w:hAnsi="Times New Roman" w:cs="Times New Roman"/>
          <w:sz w:val="24"/>
          <w:szCs w:val="24"/>
          <w:lang w:val="en-US"/>
        </w:rPr>
        <w:t> </w:t>
      </w:r>
      <w:r>
        <w:rPr>
          <w:rFonts w:ascii="Times New Roman CYR" w:hAnsi="Times New Roman CYR" w:cs="Times New Roman CYR"/>
          <w:sz w:val="24"/>
          <w:szCs w:val="24"/>
        </w:rPr>
        <w:t>по земельным участкам.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Обеспечение государственной регистрации права собственности Инсарского муниципального района на объекты недвижимого имущества: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формирование и последующая ежемесячная актуализация перечня незарегистрированных объектов недвижимого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разработка документации и формирование заявок на проведение технической инвентаризации объектов, находящихся в собственности Инсарского муниципального района, получение технических планов, кадастровых паспортов;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отражение в реестре муниципального имущества Инсарского муниципального района данных, полученных в результате технической инвентаризации объектов;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 </w:t>
      </w:r>
      <w:r>
        <w:rPr>
          <w:rFonts w:ascii="Times New Roman CYR" w:hAnsi="Times New Roman CYR" w:cs="Times New Roman CYR"/>
          <w:sz w:val="24"/>
          <w:szCs w:val="24"/>
        </w:rPr>
        <w:t>подготовка правоустанавливающих документов, в том числе путем запросов информации в архивные органы, органы местного самоуправления, органы исполнительной власти и другие организации;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государственная регистрация права собственности Инсарского муниципального района на объекты недвижимого имущества;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содействие балансодержателям имущества в государственной регистрации права оперативного управления, права хозяйственного ведения на закрепленные за ними объекты.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Обеспечение государственной регистрации права собственности Инсарского муниципального района на земельные участки: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разработка документации и формирование заявок на выполнение кадастровых работ;</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подготовка и выдача документов исполнителям кадастровых работ по заключенным государственным контрактам, прямым договорам;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Проведение приватизации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сбор и обобщение предложений органов исполнительной власти Инсарского муниципального района по включению в Прогнозный план (программу) приватизации муниципального имущества на соответствующий год объектов неиспользуемого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 xml:space="preserve">проведение </w:t>
      </w:r>
      <w:proofErr w:type="gramStart"/>
      <w:r>
        <w:rPr>
          <w:rFonts w:ascii="Times New Roman CYR" w:hAnsi="Times New Roman CYR" w:cs="Times New Roman CYR"/>
          <w:sz w:val="24"/>
          <w:szCs w:val="24"/>
        </w:rPr>
        <w:t>пред</w:t>
      </w:r>
      <w:proofErr w:type="gramEnd"/>
      <w:r>
        <w:rPr>
          <w:rFonts w:ascii="Times New Roman CYR" w:hAnsi="Times New Roman CYR" w:cs="Times New Roman CYR"/>
          <w:sz w:val="24"/>
          <w:szCs w:val="24"/>
        </w:rPr>
        <w:t xml:space="preserve"> приватизационных мероприятий и подготовка проектов решений об условиях приватизации муниципального имущества;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реализация принятых решений об условиях приватизации муниципального имущества.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5) </w:t>
      </w:r>
      <w:r>
        <w:rPr>
          <w:rFonts w:ascii="Times New Roman CYR" w:hAnsi="Times New Roman CYR" w:cs="Times New Roman CYR"/>
          <w:sz w:val="24"/>
          <w:szCs w:val="24"/>
        </w:rPr>
        <w:t>Передача муниципального имущества в аренду, безвозмездное пользование, закрепление в оперативное управление:</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заключение договоров по передаче муниципального имущества Инсарского муниципального района в безвозмездное пользование;</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заключение и согласование договоров аренды муниципального имущества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принятие решений о закреплении муниципального имущества Инсарского муниципального района в оперативном управлении муниципальных учреждений.</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6) </w:t>
      </w:r>
      <w:r>
        <w:rPr>
          <w:rFonts w:ascii="Times New Roman CYR" w:hAnsi="Times New Roman CYR" w:cs="Times New Roman CYR"/>
          <w:sz w:val="24"/>
          <w:szCs w:val="24"/>
        </w:rPr>
        <w:t>Проведение проверок сохранности и целевого использования муниципального имущества: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проверки сохранности и использования по назначению муниципального имущества Инсарского муниципального района, переданного в оперативное управление муниципальным учреждениям и казенным учреждениям, в хозяйственное ведение муниципальным унитарным предприятиям;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проверки сохранности имущества, переданного по договорам аренды и безвозмездного пользования.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Проверки осуществляются по вопросам наличия правоустанавливающих документов и технической документации в отношении объектов недвижимого имущества, фактического наличия основных средств, излишнего, неиспользуемого, либо используемого не по назначению имущества, заключения договоров аренды, безвозмездного пользования, наличия пользователей, фактически занимающих помещения (использующих движимое имущество) без оформления соответствующих прав;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proofErr w:type="gramStart"/>
      <w:r>
        <w:rPr>
          <w:rFonts w:ascii="Times New Roman CYR" w:hAnsi="Times New Roman CYR" w:cs="Times New Roman CYR"/>
          <w:sz w:val="24"/>
          <w:szCs w:val="24"/>
        </w:rPr>
        <w:t>контроль за</w:t>
      </w:r>
      <w:proofErr w:type="gramEnd"/>
      <w:r>
        <w:rPr>
          <w:rFonts w:ascii="Times New Roman CYR" w:hAnsi="Times New Roman CYR" w:cs="Times New Roman CYR"/>
          <w:sz w:val="24"/>
          <w:szCs w:val="24"/>
        </w:rPr>
        <w:t xml:space="preserve"> устранением выявленных нарушений и недостатков во взаимодействии.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7) </w:t>
      </w:r>
      <w:r>
        <w:rPr>
          <w:rFonts w:ascii="Times New Roman CYR" w:hAnsi="Times New Roman CYR" w:cs="Times New Roman CYR"/>
          <w:sz w:val="24"/>
          <w:szCs w:val="24"/>
        </w:rPr>
        <w:t>Защита имущественных прав и интересов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совершенствование нормативно-правовой базы в сфере земельно-имущественных отношений;</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 </w:t>
      </w:r>
      <w:r>
        <w:rPr>
          <w:rFonts w:ascii="Times New Roman CYR" w:hAnsi="Times New Roman CYR" w:cs="Times New Roman CYR"/>
          <w:sz w:val="24"/>
          <w:szCs w:val="24"/>
        </w:rPr>
        <w:t>ведение претензионно-исковой работы в случае нарушения условий использования муниципального имущества.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Блок "Управления земельными ресурсами"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Организация изготовления паспортов муниципальных земельных участков и земельных участков, государственная собственность на которые не разграничена, находящихся в границах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Проведение кадастровых работ в отношении земельных участков для однократного бесплатного предоставления земельных участков в собственность гражданам, имеющих трех и более детей на территории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Организация работы по рыночной оценке годовой арендной платы земельных участков, а также рыночной оценке земельных участков.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4) </w:t>
      </w:r>
      <w:r>
        <w:rPr>
          <w:rFonts w:ascii="Times New Roman CYR" w:hAnsi="Times New Roman CYR" w:cs="Times New Roman CYR"/>
          <w:sz w:val="24"/>
          <w:szCs w:val="24"/>
        </w:rPr>
        <w:t>Организация торгов по продаже земельных участков или права на заключение договоров аренды земельных участков.</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5) </w:t>
      </w:r>
      <w:r>
        <w:rPr>
          <w:rFonts w:ascii="Times New Roman CYR" w:hAnsi="Times New Roman CYR" w:cs="Times New Roman CYR"/>
          <w:sz w:val="24"/>
          <w:szCs w:val="24"/>
        </w:rPr>
        <w:t>Проведение комплексных кадастровых работ в отношении земельных участков на территории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6) </w:t>
      </w:r>
      <w:r>
        <w:rPr>
          <w:rFonts w:ascii="Times New Roman CYR" w:hAnsi="Times New Roman CYR" w:cs="Times New Roman CYR"/>
          <w:sz w:val="24"/>
          <w:szCs w:val="24"/>
        </w:rPr>
        <w:t>Проведение кадастровых работ и подготовка землеустроительных дел в отношении земельных участков спецфонда из земель сельскохозяйственного назначения на территории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7) </w:t>
      </w:r>
      <w:r>
        <w:rPr>
          <w:rFonts w:ascii="Times New Roman CYR" w:hAnsi="Times New Roman CYR" w:cs="Times New Roman CYR"/>
          <w:sz w:val="24"/>
          <w:szCs w:val="24"/>
        </w:rPr>
        <w:t>Подготовка генеральных планов сельских поселений, подготовка правил землепользования и застройки поселений, и внесение в них изменений.</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Состав мероприятий может корректироваться по мере решения задач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Более подробная характеристика основных мероприятий Программы содержится в Приложении.</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4. </w:t>
      </w:r>
      <w:r>
        <w:rPr>
          <w:rFonts w:ascii="Times New Roman CYR" w:hAnsi="Times New Roman CYR" w:cs="Times New Roman CYR"/>
          <w:b/>
          <w:bCs/>
          <w:sz w:val="24"/>
          <w:szCs w:val="24"/>
        </w:rPr>
        <w:t>Ресурсное обеспечение Программы.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Общий объем ресурсного обеспечения Программы на 2016</w:t>
      </w:r>
      <w:r>
        <w:rPr>
          <w:rFonts w:ascii="Times New Roman" w:hAnsi="Times New Roman" w:cs="Times New Roman"/>
          <w:sz w:val="24"/>
          <w:szCs w:val="24"/>
          <w:lang w:val="en-US"/>
        </w:rPr>
        <w:t> </w:t>
      </w:r>
      <w:r w:rsidRPr="00BC7A81">
        <w:rPr>
          <w:rFonts w:ascii="Times New Roman" w:hAnsi="Times New Roman" w:cs="Times New Roman"/>
          <w:sz w:val="24"/>
          <w:szCs w:val="24"/>
        </w:rPr>
        <w:t>-</w:t>
      </w:r>
      <w:r>
        <w:rPr>
          <w:rFonts w:ascii="Times New Roman" w:hAnsi="Times New Roman" w:cs="Times New Roman"/>
          <w:sz w:val="24"/>
          <w:szCs w:val="24"/>
          <w:lang w:val="en-US"/>
        </w:rPr>
        <w:t> </w:t>
      </w: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годы по всем источникам финансирования - 3 343,4 тыс.</w:t>
      </w:r>
      <w:r>
        <w:rPr>
          <w:rFonts w:ascii="Times New Roman" w:hAnsi="Times New Roman" w:cs="Times New Roman"/>
          <w:sz w:val="24"/>
          <w:szCs w:val="24"/>
          <w:lang w:val="en-US"/>
        </w:rPr>
        <w:t> </w:t>
      </w:r>
      <w:r>
        <w:rPr>
          <w:rFonts w:ascii="Times New Roman CYR" w:hAnsi="Times New Roman CYR" w:cs="Times New Roman CYR"/>
          <w:sz w:val="24"/>
          <w:szCs w:val="24"/>
        </w:rPr>
        <w:t>руб., в том числе по годам: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2016</w:t>
      </w:r>
      <w:r>
        <w:rPr>
          <w:rFonts w:ascii="Times New Roman" w:hAnsi="Times New Roman" w:cs="Times New Roman"/>
          <w:sz w:val="24"/>
          <w:szCs w:val="24"/>
          <w:lang w:val="en-US"/>
        </w:rPr>
        <w:t> </w:t>
      </w:r>
      <w:r>
        <w:rPr>
          <w:rFonts w:ascii="Times New Roman CYR" w:hAnsi="Times New Roman CYR" w:cs="Times New Roman CYR"/>
          <w:sz w:val="24"/>
          <w:szCs w:val="24"/>
        </w:rPr>
        <w:t>год - 200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2017</w:t>
      </w:r>
      <w:r>
        <w:rPr>
          <w:rFonts w:ascii="Times New Roman" w:hAnsi="Times New Roman" w:cs="Times New Roman"/>
          <w:sz w:val="24"/>
          <w:szCs w:val="24"/>
          <w:lang w:val="en-US"/>
        </w:rPr>
        <w:t> </w:t>
      </w:r>
      <w:r>
        <w:rPr>
          <w:rFonts w:ascii="Times New Roman CYR" w:hAnsi="Times New Roman CYR" w:cs="Times New Roman CYR"/>
          <w:sz w:val="24"/>
          <w:szCs w:val="24"/>
        </w:rPr>
        <w:t>год - 100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2018</w:t>
      </w:r>
      <w:r>
        <w:rPr>
          <w:rFonts w:ascii="Times New Roman" w:hAnsi="Times New Roman" w:cs="Times New Roman"/>
          <w:sz w:val="24"/>
          <w:szCs w:val="24"/>
          <w:lang w:val="en-US"/>
        </w:rPr>
        <w:t> </w:t>
      </w:r>
      <w:r>
        <w:rPr>
          <w:rFonts w:ascii="Times New Roman CYR" w:hAnsi="Times New Roman CYR" w:cs="Times New Roman CYR"/>
          <w:sz w:val="24"/>
          <w:szCs w:val="24"/>
        </w:rPr>
        <w:t>год - 100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2019</w:t>
      </w:r>
      <w:r>
        <w:rPr>
          <w:rFonts w:ascii="Times New Roman" w:hAnsi="Times New Roman" w:cs="Times New Roman"/>
          <w:sz w:val="24"/>
          <w:szCs w:val="24"/>
          <w:lang w:val="en-US"/>
        </w:rPr>
        <w:t> </w:t>
      </w:r>
      <w:r>
        <w:rPr>
          <w:rFonts w:ascii="Times New Roman CYR" w:hAnsi="Times New Roman CYR" w:cs="Times New Roman CYR"/>
          <w:sz w:val="24"/>
          <w:szCs w:val="24"/>
        </w:rPr>
        <w:t>год - 100,4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2020</w:t>
      </w:r>
      <w:r>
        <w:rPr>
          <w:rFonts w:ascii="Times New Roman" w:hAnsi="Times New Roman" w:cs="Times New Roman"/>
          <w:sz w:val="24"/>
          <w:szCs w:val="24"/>
          <w:lang w:val="en-US"/>
        </w:rPr>
        <w:t> </w:t>
      </w:r>
      <w:r>
        <w:rPr>
          <w:rFonts w:ascii="Times New Roman CYR" w:hAnsi="Times New Roman CYR" w:cs="Times New Roman CYR"/>
          <w:sz w:val="24"/>
          <w:szCs w:val="24"/>
        </w:rPr>
        <w:t>год - 93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2021</w:t>
      </w:r>
      <w:r>
        <w:rPr>
          <w:rFonts w:ascii="Times New Roman" w:hAnsi="Times New Roman" w:cs="Times New Roman"/>
          <w:sz w:val="24"/>
          <w:szCs w:val="24"/>
          <w:lang w:val="en-US"/>
        </w:rPr>
        <w:t> </w:t>
      </w:r>
      <w:r>
        <w:rPr>
          <w:rFonts w:ascii="Times New Roman CYR" w:hAnsi="Times New Roman CYR" w:cs="Times New Roman CYR"/>
          <w:sz w:val="24"/>
          <w:szCs w:val="24"/>
        </w:rPr>
        <w:t>год - 226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2022</w:t>
      </w:r>
      <w:r>
        <w:rPr>
          <w:rFonts w:ascii="Times New Roman" w:hAnsi="Times New Roman" w:cs="Times New Roman"/>
          <w:sz w:val="24"/>
          <w:szCs w:val="24"/>
          <w:lang w:val="en-US"/>
        </w:rPr>
        <w:t> </w:t>
      </w:r>
      <w:r>
        <w:rPr>
          <w:rFonts w:ascii="Times New Roman CYR" w:hAnsi="Times New Roman CYR" w:cs="Times New Roman CYR"/>
          <w:sz w:val="24"/>
          <w:szCs w:val="24"/>
        </w:rPr>
        <w:t>год - 1902,7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 - 744,8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Республики Мордовия - 1157,9 тыс.</w:t>
      </w:r>
      <w:r>
        <w:rPr>
          <w:rFonts w:ascii="Times New Roman" w:hAnsi="Times New Roman" w:cs="Times New Roman"/>
          <w:sz w:val="24"/>
          <w:szCs w:val="24"/>
          <w:lang w:val="en-US"/>
        </w:rPr>
        <w:t> </w:t>
      </w:r>
      <w:r>
        <w:rPr>
          <w:rFonts w:ascii="Times New Roman CYR" w:hAnsi="Times New Roman CYR" w:cs="Times New Roman CYR"/>
          <w:sz w:val="24"/>
          <w:szCs w:val="24"/>
        </w:rPr>
        <w:t>руб.);</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2023</w:t>
      </w:r>
      <w:r>
        <w:rPr>
          <w:rFonts w:ascii="Times New Roman" w:hAnsi="Times New Roman" w:cs="Times New Roman"/>
          <w:sz w:val="24"/>
          <w:szCs w:val="24"/>
          <w:lang w:val="en-US"/>
        </w:rPr>
        <w:t> </w:t>
      </w:r>
      <w:r>
        <w:rPr>
          <w:rFonts w:ascii="Times New Roman CYR" w:hAnsi="Times New Roman CYR" w:cs="Times New Roman CYR"/>
          <w:sz w:val="24"/>
          <w:szCs w:val="24"/>
        </w:rPr>
        <w:t>год - 460,0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2024</w:t>
      </w:r>
      <w:r>
        <w:rPr>
          <w:rFonts w:ascii="Times New Roman" w:hAnsi="Times New Roman" w:cs="Times New Roman"/>
          <w:sz w:val="24"/>
          <w:szCs w:val="24"/>
          <w:lang w:val="en-US"/>
        </w:rPr>
        <w:t> </w:t>
      </w:r>
      <w:r>
        <w:rPr>
          <w:rFonts w:ascii="Times New Roman CYR" w:hAnsi="Times New Roman CYR" w:cs="Times New Roman CYR"/>
          <w:sz w:val="24"/>
          <w:szCs w:val="24"/>
        </w:rPr>
        <w:t>год - 171,3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2025</w:t>
      </w:r>
      <w:r>
        <w:rPr>
          <w:rFonts w:ascii="Times New Roman" w:hAnsi="Times New Roman" w:cs="Times New Roman"/>
          <w:sz w:val="24"/>
          <w:szCs w:val="24"/>
          <w:lang w:val="en-US"/>
        </w:rPr>
        <w:t> </w:t>
      </w:r>
      <w:r>
        <w:rPr>
          <w:rFonts w:ascii="Times New Roman CYR" w:hAnsi="Times New Roman CYR" w:cs="Times New Roman CYR"/>
          <w:sz w:val="24"/>
          <w:szCs w:val="24"/>
        </w:rPr>
        <w:t>год - 90,0 тыс.</w:t>
      </w:r>
      <w:r>
        <w:rPr>
          <w:rFonts w:ascii="Times New Roman" w:hAnsi="Times New Roman" w:cs="Times New Roman"/>
          <w:sz w:val="24"/>
          <w:szCs w:val="24"/>
          <w:lang w:val="en-US"/>
        </w:rPr>
        <w:t> </w:t>
      </w:r>
      <w:r>
        <w:rPr>
          <w:rFonts w:ascii="Times New Roman CYR" w:hAnsi="Times New Roman CYR" w:cs="Times New Roman CYR"/>
          <w:sz w:val="24"/>
          <w:szCs w:val="24"/>
        </w:rPr>
        <w:t>руб. (средства бюджета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Объемы финансирования мероприятий Программы ежегодно подлежат уточнению при формировании бюджета на очередной финансовый год.</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5. </w:t>
      </w:r>
      <w:r>
        <w:rPr>
          <w:rFonts w:ascii="Times New Roman CYR" w:hAnsi="Times New Roman CYR" w:cs="Times New Roman CYR"/>
          <w:b/>
          <w:bCs/>
          <w:sz w:val="24"/>
          <w:szCs w:val="24"/>
        </w:rPr>
        <w:t>Методика оценки эффективности Программы.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Реализация и текущее управление реализацией Программы осуществляется ответственным исполнителем совместно с соисполнителем.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lastRenderedPageBreak/>
        <w:t>Контроль за</w:t>
      </w:r>
      <w:proofErr w:type="gramEnd"/>
      <w:r>
        <w:rPr>
          <w:rFonts w:ascii="Times New Roman CYR" w:hAnsi="Times New Roman CYR" w:cs="Times New Roman CYR"/>
          <w:sz w:val="24"/>
          <w:szCs w:val="24"/>
        </w:rPr>
        <w:t xml:space="preserve"> реализацией Программы осуществляет Экономическое управление администрации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целях обеспечения оперативного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реализацией Программы Экономическое управление администрации Инсарского муниципального района на основании сведений представленных ответственный исполнитель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1) </w:t>
      </w:r>
      <w:r>
        <w:rPr>
          <w:rFonts w:ascii="Times New Roman CYR" w:hAnsi="Times New Roman CYR" w:cs="Times New Roman CYR"/>
          <w:sz w:val="24"/>
          <w:szCs w:val="24"/>
        </w:rPr>
        <w:t>вносит на рассмотрение Главе Инсарского муниципального района отчет об исполнении плана реализации Программы по итогам: полугодия, 9 месяцев - до 25-го числа второго месяца, следующего за отчетным периодом; за год - до 1 марта года, следующего за отчетным периодом.</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Требования к отчету об исполнении плана реализации определяются Методическими рекомендациями по разработке и реализации Программы Инсарского муниципального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proofErr w:type="gramStart"/>
      <w:r w:rsidRPr="00BC7A81">
        <w:rPr>
          <w:rFonts w:ascii="Times New Roman" w:hAnsi="Times New Roman" w:cs="Times New Roman"/>
          <w:sz w:val="24"/>
          <w:szCs w:val="24"/>
        </w:rPr>
        <w:t xml:space="preserve">2) </w:t>
      </w:r>
      <w:r>
        <w:rPr>
          <w:rFonts w:ascii="Times New Roman CYR" w:hAnsi="Times New Roman CYR" w:cs="Times New Roman CYR"/>
          <w:sz w:val="24"/>
          <w:szCs w:val="24"/>
        </w:rPr>
        <w:t>отчеты по итогом полугодия, 9 месяцев, в срок до 15-го числа месяца, следующего за отчетным кварталом, предоставляет в структурное подразделение администрации Инсарского муниципального района, ответственное за оценку эффективности реализации Программы, сведения об использовании средств местного, республиканского и федерального бюджетов, внебюджетных источников на реализацию Программы по форме согласно приложению 13 к Методическим рекомендациям по разработке и реализации Программы Инсарского муниципального</w:t>
      </w:r>
      <w:proofErr w:type="gramEnd"/>
      <w:r>
        <w:rPr>
          <w:rFonts w:ascii="Times New Roman CYR" w:hAnsi="Times New Roman CYR" w:cs="Times New Roman CYR"/>
          <w:sz w:val="24"/>
          <w:szCs w:val="24"/>
        </w:rPr>
        <w:t xml:space="preserve"> района.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 xml:space="preserve">Экономическое управление администрации Инсарского муниципального района по результатам рассмотрения отчета о реализации Программы за год подготавливает отчет о реализации Программы за год (далее - годовой отчет) в срок до 1 мая года, следующего </w:t>
      </w:r>
      <w:proofErr w:type="gramStart"/>
      <w:r>
        <w:rPr>
          <w:rFonts w:ascii="Times New Roman CYR" w:hAnsi="Times New Roman CYR" w:cs="Times New Roman CYR"/>
          <w:sz w:val="24"/>
          <w:szCs w:val="24"/>
        </w:rPr>
        <w:t>за</w:t>
      </w:r>
      <w:proofErr w:type="gramEnd"/>
      <w:r>
        <w:rPr>
          <w:rFonts w:ascii="Times New Roman CYR" w:hAnsi="Times New Roman CYR" w:cs="Times New Roman CYR"/>
          <w:sz w:val="24"/>
          <w:szCs w:val="24"/>
        </w:rPr>
        <w:t xml:space="preserve"> отчетным.</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6. </w:t>
      </w:r>
      <w:r>
        <w:rPr>
          <w:rFonts w:ascii="Times New Roman CYR" w:hAnsi="Times New Roman CYR" w:cs="Times New Roman CYR"/>
          <w:b/>
          <w:bCs/>
          <w:sz w:val="24"/>
          <w:szCs w:val="24"/>
        </w:rPr>
        <w:t>Перечень целевых индикаторов и показателей Программы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Перечень целевых индикаторов и показателей Подпрограммы указан в Приложении N</w:t>
      </w:r>
      <w:r>
        <w:rPr>
          <w:rFonts w:ascii="Times New Roman" w:hAnsi="Times New Roman" w:cs="Times New Roman"/>
          <w:sz w:val="24"/>
          <w:szCs w:val="24"/>
          <w:lang w:val="en-US"/>
        </w:rPr>
        <w:t> </w:t>
      </w:r>
      <w:r w:rsidRPr="00BC7A81">
        <w:rPr>
          <w:rFonts w:ascii="Times New Roman" w:hAnsi="Times New Roman" w:cs="Times New Roman"/>
          <w:sz w:val="24"/>
          <w:szCs w:val="24"/>
        </w:rPr>
        <w:t xml:space="preserve">2 </w:t>
      </w:r>
      <w:r>
        <w:rPr>
          <w:rFonts w:ascii="Times New Roman CYR" w:hAnsi="Times New Roman CYR" w:cs="Times New Roman CYR"/>
          <w:sz w:val="24"/>
          <w:szCs w:val="24"/>
        </w:rPr>
        <w:t>к Программе.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7. </w:t>
      </w:r>
      <w:r>
        <w:rPr>
          <w:rFonts w:ascii="Times New Roman CYR" w:hAnsi="Times New Roman CYR" w:cs="Times New Roman CYR"/>
          <w:b/>
          <w:bCs/>
          <w:sz w:val="24"/>
          <w:szCs w:val="24"/>
        </w:rPr>
        <w:t xml:space="preserve">Механизм реализации и порядок </w:t>
      </w:r>
      <w:proofErr w:type="gramStart"/>
      <w:r>
        <w:rPr>
          <w:rFonts w:ascii="Times New Roman CYR" w:hAnsi="Times New Roman CYR" w:cs="Times New Roman CYR"/>
          <w:b/>
          <w:bCs/>
          <w:sz w:val="24"/>
          <w:szCs w:val="24"/>
        </w:rPr>
        <w:t>контроля за</w:t>
      </w:r>
      <w:proofErr w:type="gramEnd"/>
      <w:r>
        <w:rPr>
          <w:rFonts w:ascii="Times New Roman CYR" w:hAnsi="Times New Roman CYR" w:cs="Times New Roman CYR"/>
          <w:b/>
          <w:bCs/>
          <w:sz w:val="24"/>
          <w:szCs w:val="24"/>
        </w:rPr>
        <w:t xml:space="preserve"> ходом реализации Программы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Методика оценки эффективности Программы представляет собой алгоритм оценки фактической эффективности в процессе и по итогам реализации Программы и должна быть основана на оценке результативности Программы с учетом объема ресурсов, направленных на ее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Инсарского муниципального района.</w:t>
      </w:r>
      <w:proofErr w:type="gramEnd"/>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 рамках методики оценки эффективности Программы может предусматриваться алгоритм установления пороговых значений целевых показателей (индикаторов) Программы. Превышение (не достижение) таких пороговых значений свидетельствует об эффективной (неэффективной) реализации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Методика оценки эффективности Программы предусматривает возможность проведения оценки эффективности Программы в течение периода реализации Программы не реже чем один раз в год.</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Методика оценки эффективности реализации Программы учитывает необходимость проведения оценок:</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1) </w:t>
      </w:r>
      <w:r>
        <w:rPr>
          <w:rFonts w:ascii="Times New Roman CYR" w:hAnsi="Times New Roman CYR" w:cs="Times New Roman CYR"/>
          <w:sz w:val="24"/>
          <w:szCs w:val="24"/>
        </w:rPr>
        <w:t>степени реализации основных мероприятий и Программы (достижения ожидаемых непосредственных результатов их реализации), рассчитываемой как долю мероприятий, выполненных в полном объеме, по следующей формуле: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680"/>
        <w:jc w:val="center"/>
        <w:rPr>
          <w:rFonts w:ascii="Times New Roman CYR" w:hAnsi="Times New Roman CYR" w:cs="Times New Roman CYR"/>
          <w:sz w:val="24"/>
          <w:szCs w:val="24"/>
        </w:rPr>
      </w:pPr>
      <w:r>
        <w:rPr>
          <w:rFonts w:ascii="Times New Roman CYR" w:hAnsi="Times New Roman CYR" w:cs="Times New Roman CYR"/>
          <w:sz w:val="24"/>
          <w:szCs w:val="24"/>
        </w:rPr>
        <w:t>СРМ = МВ/М, где: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СРМ - степень реализации основных мероприятий;</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cs="Times New Roman"/>
          <w:sz w:val="24"/>
          <w:szCs w:val="24"/>
          <w:lang w:val="en-US"/>
        </w:rPr>
        <w:t>MB</w:t>
      </w:r>
      <w:r w:rsidRPr="00BC7A81">
        <w:rPr>
          <w:rFonts w:ascii="Times New Roman" w:hAnsi="Times New Roman" w:cs="Times New Roman"/>
          <w:sz w:val="24"/>
          <w:szCs w:val="24"/>
        </w:rPr>
        <w:t xml:space="preserve"> - </w:t>
      </w:r>
      <w:r>
        <w:rPr>
          <w:rFonts w:ascii="Times New Roman CYR" w:hAnsi="Times New Roman CYR" w:cs="Times New Roman CYR"/>
          <w:sz w:val="24"/>
          <w:szCs w:val="24"/>
        </w:rPr>
        <w:t>количество мероприятий, выполненных в полном объеме, из числа мероприятий, запланированных к реализации в отчетном году;</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М - общее количество мероприятий, запланированных к реализации в отчетном году;</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2) </w:t>
      </w:r>
      <w:r>
        <w:rPr>
          <w:rFonts w:ascii="Times New Roman CYR" w:hAnsi="Times New Roman CYR" w:cs="Times New Roman CYR"/>
          <w:sz w:val="24"/>
          <w:szCs w:val="24"/>
        </w:rPr>
        <w:t>степени соответствия запланированному уровню затрат и оценки эффективности использования средств, направленных на реализацию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Оценка степени соответствия запланированному уровню затрат и эффективности использования средств, направленных на реализацию МП (подпрограммы), определяется путем сопоставления плановых и фактических объемов финансирования Программы по формуле: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680"/>
        <w:jc w:val="center"/>
        <w:rPr>
          <w:rFonts w:ascii="Times New Roman CYR" w:hAnsi="Times New Roman CYR" w:cs="Times New Roman CYR"/>
          <w:sz w:val="24"/>
          <w:szCs w:val="24"/>
        </w:rPr>
      </w:pPr>
      <w:r>
        <w:rPr>
          <w:rFonts w:ascii="Times New Roman CYR" w:hAnsi="Times New Roman CYR" w:cs="Times New Roman CYR"/>
          <w:sz w:val="24"/>
          <w:szCs w:val="24"/>
        </w:rPr>
        <w:t>ССУЗ = ФФ/ФП, где: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ССУЗ - уровень финансирования реализации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ФФ - фактический объем финансовых ресурсов, направленный на реализацию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ФП - плановый объем финансовых ресурсов на соответствующий отчетный период;</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Оценка эффективности использования средств, направленных на реализацию Программы определяется по формуле: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680"/>
        <w:jc w:val="center"/>
        <w:rPr>
          <w:rFonts w:ascii="Times New Roman CYR" w:hAnsi="Times New Roman CYR" w:cs="Times New Roman CYR"/>
          <w:sz w:val="24"/>
          <w:szCs w:val="24"/>
        </w:rPr>
      </w:pPr>
      <w:r>
        <w:rPr>
          <w:rFonts w:ascii="Times New Roman CYR" w:hAnsi="Times New Roman CYR" w:cs="Times New Roman CYR"/>
          <w:sz w:val="24"/>
          <w:szCs w:val="24"/>
        </w:rPr>
        <w:t>ЭС = СРМ/ССУЗ</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3) </w:t>
      </w:r>
      <w:r>
        <w:rPr>
          <w:rFonts w:ascii="Times New Roman CYR" w:hAnsi="Times New Roman CYR" w:cs="Times New Roman CYR"/>
          <w:sz w:val="24"/>
          <w:szCs w:val="24"/>
        </w:rPr>
        <w:t>степени достижения целей и решения задач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Оценка степени достижения целей и решения задач Программы может определяться путем сопоставления фактически достигнутых значений показателей (индикаторов) Программы и их плановых значений по формуле: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680"/>
        <w:jc w:val="center"/>
        <w:rPr>
          <w:rFonts w:ascii="Times New Roman CYR" w:hAnsi="Times New Roman CYR" w:cs="Times New Roman CYR"/>
          <w:sz w:val="24"/>
          <w:szCs w:val="24"/>
        </w:rPr>
      </w:pPr>
      <w:r>
        <w:rPr>
          <w:rFonts w:ascii="Times New Roman CYR" w:hAnsi="Times New Roman CYR" w:cs="Times New Roman CYR"/>
          <w:sz w:val="24"/>
          <w:szCs w:val="24"/>
        </w:rPr>
        <w:t>СДЦ = (СДП</w:t>
      </w:r>
      <w:proofErr w:type="gramStart"/>
      <w:r>
        <w:rPr>
          <w:rFonts w:ascii="Times New Roman CYR" w:hAnsi="Times New Roman CYR" w:cs="Times New Roman CYR"/>
          <w:sz w:val="24"/>
          <w:szCs w:val="24"/>
        </w:rPr>
        <w:t>1</w:t>
      </w:r>
      <w:proofErr w:type="gramEnd"/>
      <w:r>
        <w:rPr>
          <w:rFonts w:ascii="Times New Roman CYR" w:hAnsi="Times New Roman CYR" w:cs="Times New Roman CYR"/>
          <w:sz w:val="24"/>
          <w:szCs w:val="24"/>
        </w:rPr>
        <w:t xml:space="preserve"> + СДП2 + СДПп)/n, где: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СДЦ - степень достижения целей (решения задач);</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СДП - степень достижения показателя (индикатора)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w:hAnsi="Times New Roman" w:cs="Times New Roman"/>
          <w:sz w:val="24"/>
          <w:szCs w:val="24"/>
          <w:lang w:val="en-US"/>
        </w:rPr>
        <w:t>n</w:t>
      </w:r>
      <w:r w:rsidRPr="00BC7A81">
        <w:rPr>
          <w:rFonts w:ascii="Times New Roman" w:hAnsi="Times New Roman" w:cs="Times New Roman"/>
          <w:sz w:val="24"/>
          <w:szCs w:val="24"/>
        </w:rPr>
        <w:t xml:space="preserve"> - </w:t>
      </w:r>
      <w:proofErr w:type="gramStart"/>
      <w:r>
        <w:rPr>
          <w:rFonts w:ascii="Times New Roman CYR" w:hAnsi="Times New Roman CYR" w:cs="Times New Roman CYR"/>
          <w:sz w:val="24"/>
          <w:szCs w:val="24"/>
        </w:rPr>
        <w:t>количество</w:t>
      </w:r>
      <w:proofErr w:type="gramEnd"/>
      <w:r>
        <w:rPr>
          <w:rFonts w:ascii="Times New Roman CYR" w:hAnsi="Times New Roman CYR" w:cs="Times New Roman CYR"/>
          <w:sz w:val="24"/>
          <w:szCs w:val="24"/>
        </w:rPr>
        <w:t xml:space="preserve"> показателей (индикаторов)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Степень достижения показателя (индикатора) Программы (СДП) может рассчитываться по формуле: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680"/>
        <w:jc w:val="center"/>
        <w:rPr>
          <w:rFonts w:ascii="Times New Roman CYR" w:hAnsi="Times New Roman CYR" w:cs="Times New Roman CYR"/>
          <w:sz w:val="24"/>
          <w:szCs w:val="24"/>
        </w:rPr>
      </w:pPr>
      <w:r>
        <w:rPr>
          <w:rFonts w:ascii="Times New Roman CYR" w:hAnsi="Times New Roman CYR" w:cs="Times New Roman CYR"/>
          <w:sz w:val="24"/>
          <w:szCs w:val="24"/>
        </w:rPr>
        <w:t>СДП = ЗФ/ЗП, где: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ЗФ - фактическое значение показателя (индикатора)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ЗП - плановое значение показателя (индикатора) Программы (для показателей (индикаторов), желаемой тенденцией развития которых является рост значений) или,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СДП = ЗП/ЗФ (для целевых показателей (индикаторов), желаемой тенденцией развития которых является снижение значений);</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lastRenderedPageBreak/>
        <w:t xml:space="preserve">4) </w:t>
      </w:r>
      <w:r>
        <w:rPr>
          <w:rFonts w:ascii="Times New Roman CYR" w:hAnsi="Times New Roman CYR" w:cs="Times New Roman CYR"/>
          <w:sz w:val="24"/>
          <w:szCs w:val="24"/>
        </w:rPr>
        <w:t>общей оценки эффективности реализации Программы (ЭГП) рассчитываемой по следующей формуле:</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680"/>
        <w:jc w:val="center"/>
        <w:rPr>
          <w:rFonts w:ascii="Times New Roman CYR" w:hAnsi="Times New Roman CYR" w:cs="Times New Roman CYR"/>
          <w:sz w:val="24"/>
          <w:szCs w:val="24"/>
        </w:rPr>
      </w:pPr>
      <w:r>
        <w:rPr>
          <w:rFonts w:ascii="Times New Roman CYR" w:hAnsi="Times New Roman CYR" w:cs="Times New Roman CYR"/>
          <w:sz w:val="24"/>
          <w:szCs w:val="24"/>
        </w:rPr>
        <w:t>ЭГП = СДЦхЭС.</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Вывод об эффективности (неэффективности) реализации МП может определяться на основании следующих критериев:</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tbl>
      <w:tblPr>
        <w:tblW w:w="0" w:type="auto"/>
        <w:tblInd w:w="3" w:type="dxa"/>
        <w:tblLayout w:type="fixed"/>
        <w:tblCellMar>
          <w:left w:w="0" w:type="dxa"/>
          <w:right w:w="0" w:type="dxa"/>
        </w:tblCellMar>
        <w:tblLook w:val="0000"/>
      </w:tblPr>
      <w:tblGrid>
        <w:gridCol w:w="5896"/>
        <w:gridCol w:w="4309"/>
      </w:tblGrid>
      <w:tr w:rsidR="00BC7A81">
        <w:tblPrEx>
          <w:tblCellMar>
            <w:top w:w="0" w:type="dxa"/>
            <w:left w:w="0" w:type="dxa"/>
            <w:bottom w:w="0" w:type="dxa"/>
            <w:right w:w="0" w:type="dxa"/>
          </w:tblCellMar>
        </w:tblPrEx>
        <w:trPr>
          <w:trHeight w:val="1"/>
        </w:trPr>
        <w:tc>
          <w:tcPr>
            <w:tcW w:w="5896" w:type="dxa"/>
            <w:tcBorders>
              <w:top w:val="single" w:sz="2" w:space="0" w:color="000000"/>
              <w:left w:val="single" w:sz="2" w:space="0" w:color="000000"/>
              <w:bottom w:val="single" w:sz="2" w:space="0" w:color="000000"/>
              <w:right w:val="single" w:sz="2" w:space="0" w:color="000000"/>
            </w:tcBorders>
            <w:shd w:val="clear" w:color="000000" w:fill="FFFFFF"/>
          </w:tcPr>
          <w:p w:rsidR="00BC7A81" w:rsidRPr="00BC7A81" w:rsidRDefault="00BC7A8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Вывод об эффективности реализации Муниципальной Программы</w:t>
            </w:r>
          </w:p>
        </w:tc>
        <w:tc>
          <w:tcPr>
            <w:tcW w:w="4309"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Критерий оценки эффективности ЭГП</w:t>
            </w:r>
          </w:p>
        </w:tc>
      </w:tr>
      <w:tr w:rsidR="00BC7A81">
        <w:tblPrEx>
          <w:tblCellMar>
            <w:top w:w="0" w:type="dxa"/>
            <w:left w:w="0" w:type="dxa"/>
            <w:bottom w:w="0" w:type="dxa"/>
            <w:right w:w="0" w:type="dxa"/>
          </w:tblCellMar>
        </w:tblPrEx>
        <w:trPr>
          <w:trHeight w:val="1"/>
        </w:trPr>
        <w:tc>
          <w:tcPr>
            <w:tcW w:w="5896"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Неэффективная</w:t>
            </w:r>
          </w:p>
        </w:tc>
        <w:tc>
          <w:tcPr>
            <w:tcW w:w="4309"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менее 0,5</w:t>
            </w:r>
          </w:p>
        </w:tc>
      </w:tr>
      <w:tr w:rsidR="00BC7A81">
        <w:tblPrEx>
          <w:tblCellMar>
            <w:top w:w="0" w:type="dxa"/>
            <w:left w:w="0" w:type="dxa"/>
            <w:bottom w:w="0" w:type="dxa"/>
            <w:right w:w="0" w:type="dxa"/>
          </w:tblCellMar>
        </w:tblPrEx>
        <w:trPr>
          <w:trHeight w:val="1"/>
        </w:trPr>
        <w:tc>
          <w:tcPr>
            <w:tcW w:w="5896"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Уровень эффективности удовлетворительный</w:t>
            </w:r>
          </w:p>
        </w:tc>
        <w:tc>
          <w:tcPr>
            <w:tcW w:w="4309"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0,5 - 0,79</w:t>
            </w:r>
          </w:p>
        </w:tc>
      </w:tr>
      <w:tr w:rsidR="00BC7A81">
        <w:tblPrEx>
          <w:tblCellMar>
            <w:top w:w="0" w:type="dxa"/>
            <w:left w:w="0" w:type="dxa"/>
            <w:bottom w:w="0" w:type="dxa"/>
            <w:right w:w="0" w:type="dxa"/>
          </w:tblCellMar>
        </w:tblPrEx>
        <w:trPr>
          <w:trHeight w:val="1"/>
        </w:trPr>
        <w:tc>
          <w:tcPr>
            <w:tcW w:w="5896"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Эффективная</w:t>
            </w:r>
          </w:p>
        </w:tc>
        <w:tc>
          <w:tcPr>
            <w:tcW w:w="4309"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0,8 - 1</w:t>
            </w:r>
          </w:p>
        </w:tc>
      </w:tr>
      <w:tr w:rsidR="00BC7A81">
        <w:tblPrEx>
          <w:tblCellMar>
            <w:top w:w="0" w:type="dxa"/>
            <w:left w:w="0" w:type="dxa"/>
            <w:bottom w:w="0" w:type="dxa"/>
            <w:right w:w="0" w:type="dxa"/>
          </w:tblCellMar>
        </w:tblPrEx>
        <w:trPr>
          <w:trHeight w:val="1"/>
        </w:trPr>
        <w:tc>
          <w:tcPr>
            <w:tcW w:w="5896"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Высокоэффективная</w:t>
            </w:r>
          </w:p>
        </w:tc>
        <w:tc>
          <w:tcPr>
            <w:tcW w:w="4309" w:type="dxa"/>
            <w:tcBorders>
              <w:top w:val="single" w:sz="2" w:space="0" w:color="000000"/>
              <w:left w:val="single" w:sz="2" w:space="0" w:color="000000"/>
              <w:bottom w:val="single" w:sz="2" w:space="0" w:color="000000"/>
              <w:right w:val="single" w:sz="2" w:space="0" w:color="000000"/>
            </w:tcBorders>
            <w:shd w:val="clear" w:color="000000" w:fill="FFFFFF"/>
          </w:tcPr>
          <w:p w:rsidR="00BC7A81" w:rsidRDefault="00BC7A8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более 1</w:t>
            </w:r>
          </w:p>
        </w:tc>
      </w:tr>
    </w:tbl>
    <w:p w:rsidR="00BC7A81" w:rsidRDefault="00BC7A81" w:rsidP="00BC7A81">
      <w:pPr>
        <w:autoSpaceDE w:val="0"/>
        <w:autoSpaceDN w:val="0"/>
        <w:adjustRightInd w:val="0"/>
        <w:spacing w:after="0" w:line="240" w:lineRule="auto"/>
        <w:ind w:firstLine="720"/>
        <w:jc w:val="both"/>
        <w:rPr>
          <w:rFonts w:ascii="Calibri" w:hAnsi="Calibri" w:cs="Calibri"/>
          <w:lang w:val="en-US"/>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Для проведения оценки эффективности реализации Программы возможно использование индивидуальной методики оценки эффективности, разработанной с учетом специфики соответствующей отрасли.</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before="240" w:after="120" w:line="240" w:lineRule="auto"/>
        <w:ind w:firstLine="720"/>
        <w:jc w:val="center"/>
        <w:rPr>
          <w:rFonts w:ascii="Times New Roman CYR" w:hAnsi="Times New Roman CYR" w:cs="Times New Roman CYR"/>
          <w:b/>
          <w:bCs/>
          <w:sz w:val="24"/>
          <w:szCs w:val="24"/>
        </w:rPr>
      </w:pPr>
      <w:r w:rsidRPr="00BC7A81">
        <w:rPr>
          <w:rFonts w:ascii="Times New Roman" w:hAnsi="Times New Roman" w:cs="Times New Roman"/>
          <w:b/>
          <w:bCs/>
          <w:sz w:val="24"/>
          <w:szCs w:val="24"/>
        </w:rPr>
        <w:t xml:space="preserve">8. </w:t>
      </w:r>
      <w:r>
        <w:rPr>
          <w:rFonts w:ascii="Times New Roman CYR" w:hAnsi="Times New Roman CYR" w:cs="Times New Roman CYR"/>
          <w:b/>
          <w:bCs/>
          <w:sz w:val="24"/>
          <w:szCs w:val="24"/>
        </w:rPr>
        <w:t>Анализ рисков реализации Программы</w:t>
      </w:r>
    </w:p>
    <w:p w:rsidR="00BC7A81" w:rsidRPr="00BC7A81" w:rsidRDefault="00BC7A81" w:rsidP="00BC7A81">
      <w:pPr>
        <w:autoSpaceDE w:val="0"/>
        <w:autoSpaceDN w:val="0"/>
        <w:adjustRightInd w:val="0"/>
        <w:spacing w:after="0" w:line="240" w:lineRule="auto"/>
        <w:ind w:firstLine="720"/>
        <w:jc w:val="both"/>
        <w:rPr>
          <w:rFonts w:ascii="Calibri" w:hAnsi="Calibri" w:cs="Calibri"/>
        </w:rPr>
      </w:pP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На решение задач и достижение цели муниципальной программы могут оказать влияние внутренние и внешние риски.</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К внутренним рискам реализации муниципальной Программы относятся: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неэффективность организации и управление процессом реализации муниципальной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низкая эффективность использования средств местного бюджета, выделяемых на реализацию муниципальной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низкая исполнительная дисциплина исполнителей основных мероприятий муниципальной программы;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 xml:space="preserve">отсутствие или недостаточность </w:t>
      </w:r>
      <w:proofErr w:type="gramStart"/>
      <w:r>
        <w:rPr>
          <w:rFonts w:ascii="Times New Roman CYR" w:hAnsi="Times New Roman CYR" w:cs="Times New Roman CYR"/>
          <w:sz w:val="24"/>
          <w:szCs w:val="24"/>
        </w:rPr>
        <w:t>координации действий исполнителей основных мероприятий муниципальной Программы</w:t>
      </w:r>
      <w:proofErr w:type="gramEnd"/>
      <w:r>
        <w:rPr>
          <w:rFonts w:ascii="Times New Roman CYR" w:hAnsi="Times New Roman CYR" w:cs="Times New Roman CYR"/>
          <w:sz w:val="24"/>
          <w:szCs w:val="24"/>
        </w:rPr>
        <w:t>.</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К внешним рискам реализации муниципальной Программы относятся: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финансовые риски, связанные с недостаточным финансированием основных мероприятий муниципальной Программы за счет средств местного бюджета, вызванные возникновением дефицита местного бюджета;</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снижение темпов роста социально-экономического развития Инсарского муниципального района усиление инфляции, кризис банковской системы;</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чрезвычайные ситуации и стихийные бедствия.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 целях минимизации внутренних и внешних рисков реализации муниципальной Программы в процессе реализации ее основных мероприятий предусматривается:</w:t>
      </w:r>
    </w:p>
    <w:p w:rsid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создание эффективной системы управления внутренними и внешними рисками реализации муниципальной Программы на основе четкого распределения функций, полномочий и ответственности между исполнителями основных мероприятий муниципальной Программы;</w:t>
      </w:r>
    </w:p>
    <w:p w:rsidR="00BC7A81" w:rsidRPr="00BC7A81" w:rsidRDefault="00BC7A81" w:rsidP="00BC7A81">
      <w:pPr>
        <w:autoSpaceDE w:val="0"/>
        <w:autoSpaceDN w:val="0"/>
        <w:adjustRightInd w:val="0"/>
        <w:spacing w:after="0" w:line="240" w:lineRule="auto"/>
        <w:ind w:firstLine="720"/>
        <w:jc w:val="both"/>
        <w:rPr>
          <w:rFonts w:ascii="Times New Roman CYR" w:hAnsi="Times New Roman CYR" w:cs="Times New Roman CYR"/>
          <w:sz w:val="24"/>
          <w:szCs w:val="24"/>
        </w:rPr>
      </w:pPr>
      <w:r w:rsidRPr="00BC7A81">
        <w:rPr>
          <w:rFonts w:ascii="Times New Roman" w:hAnsi="Times New Roman" w:cs="Times New Roman"/>
          <w:sz w:val="24"/>
          <w:szCs w:val="24"/>
        </w:rPr>
        <w:t xml:space="preserve">- </w:t>
      </w:r>
      <w:r>
        <w:rPr>
          <w:rFonts w:ascii="Times New Roman CYR" w:hAnsi="Times New Roman CYR" w:cs="Times New Roman CYR"/>
          <w:sz w:val="24"/>
          <w:szCs w:val="24"/>
        </w:rPr>
        <w:t>перераспределение объемов финансирования основных мероприятий муниципальной Программы в зависимости от динамики и темпов решения задач муниципальной Программы.</w:t>
      </w:r>
    </w:p>
    <w:p w:rsidR="00A406E2" w:rsidRDefault="00A406E2"/>
    <w:sectPr w:rsidR="00A406E2" w:rsidSect="00985FEF">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useFELayout/>
  </w:compat>
  <w:rsids>
    <w:rsidRoot w:val="00BC7A81"/>
    <w:rsid w:val="00A406E2"/>
    <w:rsid w:val="00BC7A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4869</Words>
  <Characters>27755</Characters>
  <Application>Microsoft Office Word</Application>
  <DocSecurity>0</DocSecurity>
  <Lines>231</Lines>
  <Paragraphs>65</Paragraphs>
  <ScaleCrop>false</ScaleCrop>
  <Company/>
  <LinksUpToDate>false</LinksUpToDate>
  <CharactersWithSpaces>32559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2023-09-20T13:09:00Z</dcterms:created>
  <dcterms:modified xsi:type="dcterms:W3CDTF">2023-09-20T13:11:00Z</dcterms:modified>
</cp:coreProperties>
</file>